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8848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8848090"/>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280" w:space="44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TRKLA THOMAS N.</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YESWAY, INC.</w:t>
      </w:r>
    </w:p>
    <w:p>
      <w:pPr>
        <w:spacing w:after="0" w:line="6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2301 EAGLE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Yesway,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YSWY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04/21/2026</w:t>
      </w:r>
    </w:p>
    <w:p>
      <w:pPr>
        <w:spacing w:after="0" w:line="20" w:lineRule="exact"/>
        <w:rPr>
          <w:sz w:val="24"/>
          <w:szCs w:val="24"/>
          <w:color w:val="auto"/>
        </w:rPr>
      </w:pPr>
      <w:r>
        <w:rPr>
          <w:sz w:val="24"/>
          <w:szCs w:val="24"/>
          <w:color w:val="auto"/>
        </w:rPr>
        <w:br w:type="column"/>
      </w:r>
    </w:p>
    <w:p>
      <w:pPr>
        <w:ind w:left="-1" w:right="780" w:firstLine="1"/>
        <w:spacing w:after="0" w:line="27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3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84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84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1179"/>
        <w:spacing w:after="0"/>
        <w:rPr>
          <w:sz w:val="20"/>
          <w:szCs w:val="20"/>
          <w:color w:val="auto"/>
        </w:rPr>
      </w:pPr>
      <w:r>
        <w:rPr>
          <w:rFonts w:ascii="Times New Roman" w:cs="Times New Roman" w:eastAsia="Times New Roman" w:hAnsi="Times New Roman"/>
          <w:sz w:val="16"/>
          <w:szCs w:val="16"/>
          <w:color w:val="0000FF"/>
        </w:rPr>
        <w:t>See Remarks</w:t>
      </w:r>
    </w:p>
    <w:p>
      <w:pPr>
        <w:spacing w:after="0" w:line="518" w:lineRule="exact"/>
        <w:rPr>
          <w:sz w:val="24"/>
          <w:szCs w:val="24"/>
          <w:color w:val="auto"/>
        </w:rPr>
      </w:pPr>
    </w:p>
    <w:p>
      <w:pPr>
        <w:sectPr>
          <w:pgSz w:w="11900" w:h="16838" w:orient="portrait"/>
          <w:cols w:equalWidth="0" w:num="3">
            <w:col w:w="3180" w:space="720"/>
            <w:col w:w="3101" w:space="720"/>
            <w:col w:w="3359"/>
          </w:cols>
          <w:pgMar w:left="460" w:top="212" w:right="359" w:bottom="0" w:gutter="0" w:footer="0" w:header="0"/>
          <w:type w:val="continuous"/>
        </w:sectPr>
      </w:pP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60" w:type="dxa"/>
            <w:vAlign w:val="bottom"/>
            <w:gridSpan w:val="5"/>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76177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gridSpan w:val="4"/>
          </w:tcPr>
          <w:p>
            <w:pPr>
              <w:ind w:left="20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gridSpan w:val="6"/>
          </w:tcPr>
          <w:p>
            <w:pPr>
              <w:ind w:left="200"/>
              <w:spacing w:after="0" w:line="128" w:lineRule="exact"/>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14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9"/>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5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5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60" w:type="dxa"/>
            <w:vAlign w:val="bottom"/>
            <w:gridSpan w:val="2"/>
          </w:tcPr>
          <w:p>
            <w:pPr>
              <w:ind w:left="38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40" w:type="dxa"/>
            <w:vAlign w:val="bottom"/>
            <w:gridSpan w:val="3"/>
          </w:tcPr>
          <w:p>
            <w:pPr>
              <w:ind w:left="700"/>
              <w:spacing w:after="0" w:line="123"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126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4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9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gridSpan w:val="3"/>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320"/>
              <w:spacing w:after="0" w:line="123" w:lineRule="exact"/>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jc w:val="right"/>
              <w:ind w:right="202"/>
              <w:spacing w:after="0"/>
              <w:rPr>
                <w:sz w:val="20"/>
                <w:szCs w:val="20"/>
                <w:color w:val="auto"/>
              </w:rPr>
            </w:pPr>
            <w:r>
              <w:rPr>
                <w:rFonts w:ascii="Arial" w:cs="Arial" w:eastAsia="Arial" w:hAnsi="Arial"/>
                <w:sz w:val="11"/>
                <w:szCs w:val="11"/>
                <w:b w:val="1"/>
                <w:bCs w:val="1"/>
                <w:color w:val="auto"/>
              </w:rPr>
              <w:t>Price</w:t>
            </w:r>
          </w:p>
        </w:tc>
        <w:tc>
          <w:tcPr>
            <w:tcW w:w="14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(1)</w:t>
            </w:r>
          </w:p>
        </w:tc>
        <w:tc>
          <w:tcPr>
            <w:tcW w:w="760" w:type="dxa"/>
            <w:vAlign w:val="bottom"/>
            <w:tcBorders>
              <w:bottom w:val="single" w:sz="8" w:color="2C2C2C"/>
            </w:tcBorders>
          </w:tcPr>
          <w:p>
            <w:pPr>
              <w:jc w:val="center"/>
              <w:ind w:left="170"/>
              <w:spacing w:after="0"/>
              <w:rPr>
                <w:sz w:val="20"/>
                <w:szCs w:val="20"/>
                <w:color w:val="auto"/>
              </w:rPr>
            </w:pPr>
            <w:r>
              <w:rPr>
                <w:rFonts w:ascii="Times New Roman" w:cs="Times New Roman" w:eastAsia="Times New Roman" w:hAnsi="Times New Roman"/>
                <w:sz w:val="16"/>
                <w:szCs w:val="16"/>
                <w:color w:val="0000FF"/>
                <w:w w:val="99"/>
              </w:rPr>
              <w:t>267,804</w:t>
            </w:r>
          </w:p>
        </w:tc>
        <w:tc>
          <w:tcPr>
            <w:tcW w:w="4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tcBorders>
              <w:bottom w:val="single" w:sz="8" w:color="2C2C2C"/>
            </w:tcBorders>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267,804</w:t>
            </w:r>
          </w:p>
        </w:tc>
        <w:tc>
          <w:tcPr>
            <w:tcW w:w="56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Brookwood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Pr>
          <w:p>
            <w:pPr>
              <w:spacing w:after="0"/>
              <w:rPr>
                <w:sz w:val="17"/>
                <w:szCs w:val="17"/>
                <w:color w:val="auto"/>
              </w:rPr>
            </w:pPr>
          </w:p>
        </w:tc>
        <w:tc>
          <w:tcPr>
            <w:tcW w:w="780" w:type="dxa"/>
            <w:vAlign w:val="bottom"/>
          </w:tcPr>
          <w:p>
            <w:pPr>
              <w:jc w:val="center"/>
              <w:ind w:right="286"/>
              <w:spacing w:after="0" w:line="197" w:lineRule="exact"/>
              <w:rPr>
                <w:sz w:val="20"/>
                <w:szCs w:val="20"/>
                <w:color w:val="auto"/>
              </w:rPr>
            </w:pPr>
            <w:r>
              <w:rPr>
                <w:rFonts w:ascii="Times New Roman" w:cs="Times New Roman" w:eastAsia="Times New Roman" w:hAnsi="Times New Roman"/>
                <w:sz w:val="22"/>
                <w:szCs w:val="22"/>
                <w:color w:val="0000FF"/>
                <w:w w:val="89"/>
                <w:vertAlign w:val="subscript"/>
              </w:rPr>
              <w:t>A</w:t>
            </w:r>
            <w:r>
              <w:rPr>
                <w:rFonts w:ascii="Times New Roman" w:cs="Times New Roman" w:eastAsia="Times New Roman" w:hAnsi="Times New Roman"/>
                <w:sz w:val="10"/>
                <w:szCs w:val="10"/>
                <w:color w:val="008000"/>
                <w:w w:val="89"/>
              </w:rPr>
              <w:t>(1)</w:t>
            </w:r>
          </w:p>
        </w:tc>
        <w:tc>
          <w:tcPr>
            <w:tcW w:w="1200" w:type="dxa"/>
            <w:vAlign w:val="bottom"/>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w w:val="99"/>
              </w:rPr>
              <w:t>15,085,561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gridSpan w:val="3"/>
          </w:tcPr>
          <w:p>
            <w:pPr>
              <w:jc w:val="center"/>
              <w:ind w:right="324"/>
              <w:spacing w:after="0"/>
              <w:rPr>
                <w:sz w:val="20"/>
                <w:szCs w:val="20"/>
                <w:color w:val="auto"/>
              </w:rPr>
            </w:pPr>
            <w:r>
              <w:rPr>
                <w:rFonts w:ascii="Times New Roman" w:cs="Times New Roman" w:eastAsia="Times New Roman" w:hAnsi="Times New Roman"/>
                <w:sz w:val="16"/>
                <w:szCs w:val="16"/>
                <w:color w:val="0000FF"/>
                <w:w w:val="97"/>
              </w:rPr>
              <w:t>15,085,561</w:t>
            </w:r>
          </w:p>
        </w:tc>
        <w:tc>
          <w:tcPr>
            <w:tcW w:w="56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Financial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Partners,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BW Gas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&amp;</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Pr>
          <w:p>
            <w:pPr>
              <w:spacing w:after="0"/>
              <w:rPr>
                <w:sz w:val="17"/>
                <w:szCs w:val="17"/>
                <w:color w:val="auto"/>
              </w:rPr>
            </w:pPr>
          </w:p>
        </w:tc>
        <w:tc>
          <w:tcPr>
            <w:tcW w:w="780" w:type="dxa"/>
            <w:vAlign w:val="bottom"/>
          </w:tcPr>
          <w:p>
            <w:pPr>
              <w:jc w:val="center"/>
              <w:ind w:right="286"/>
              <w:spacing w:after="0" w:line="197" w:lineRule="exact"/>
              <w:rPr>
                <w:sz w:val="20"/>
                <w:szCs w:val="20"/>
                <w:color w:val="auto"/>
              </w:rPr>
            </w:pPr>
            <w:r>
              <w:rPr>
                <w:rFonts w:ascii="Times New Roman" w:cs="Times New Roman" w:eastAsia="Times New Roman" w:hAnsi="Times New Roman"/>
                <w:sz w:val="22"/>
                <w:szCs w:val="22"/>
                <w:color w:val="0000FF"/>
                <w:w w:val="89"/>
                <w:vertAlign w:val="subscript"/>
              </w:rPr>
              <w:t>A</w:t>
            </w:r>
            <w:r>
              <w:rPr>
                <w:rFonts w:ascii="Times New Roman" w:cs="Times New Roman" w:eastAsia="Times New Roman" w:hAnsi="Times New Roman"/>
                <w:sz w:val="10"/>
                <w:szCs w:val="10"/>
                <w:color w:val="008000"/>
                <w:w w:val="89"/>
              </w:rPr>
              <w:t>(1)</w:t>
            </w:r>
          </w:p>
        </w:tc>
        <w:tc>
          <w:tcPr>
            <w:tcW w:w="1200" w:type="dxa"/>
            <w:vAlign w:val="bottom"/>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w w:val="99"/>
              </w:rPr>
              <w:t>9,367,808</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9,367,808</w:t>
            </w:r>
          </w:p>
        </w:tc>
        <w:tc>
          <w:tcPr>
            <w:tcW w:w="56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Convenience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Aggregator,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BW Gas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&amp;</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Pr>
          <w:p>
            <w:pPr>
              <w:spacing w:after="0"/>
              <w:rPr>
                <w:sz w:val="17"/>
                <w:szCs w:val="17"/>
                <w:color w:val="auto"/>
              </w:rPr>
            </w:pPr>
          </w:p>
        </w:tc>
        <w:tc>
          <w:tcPr>
            <w:tcW w:w="780" w:type="dxa"/>
            <w:vAlign w:val="bottom"/>
          </w:tcPr>
          <w:p>
            <w:pPr>
              <w:jc w:val="center"/>
              <w:ind w:right="286"/>
              <w:spacing w:after="0" w:line="197" w:lineRule="exact"/>
              <w:rPr>
                <w:sz w:val="20"/>
                <w:szCs w:val="20"/>
                <w:color w:val="auto"/>
              </w:rPr>
            </w:pPr>
            <w:r>
              <w:rPr>
                <w:rFonts w:ascii="Times New Roman" w:cs="Times New Roman" w:eastAsia="Times New Roman" w:hAnsi="Times New Roman"/>
                <w:sz w:val="22"/>
                <w:szCs w:val="22"/>
                <w:color w:val="0000FF"/>
                <w:w w:val="89"/>
                <w:vertAlign w:val="subscript"/>
              </w:rPr>
              <w:t>A</w:t>
            </w:r>
            <w:r>
              <w:rPr>
                <w:rFonts w:ascii="Times New Roman" w:cs="Times New Roman" w:eastAsia="Times New Roman" w:hAnsi="Times New Roman"/>
                <w:sz w:val="10"/>
                <w:szCs w:val="10"/>
                <w:color w:val="008000"/>
                <w:w w:val="89"/>
              </w:rPr>
              <w:t>(1)</w:t>
            </w:r>
          </w:p>
        </w:tc>
        <w:tc>
          <w:tcPr>
            <w:tcW w:w="1200" w:type="dxa"/>
            <w:vAlign w:val="bottom"/>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w w:val="99"/>
              </w:rPr>
              <w:t>19,735,435</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gridSpan w:val="3"/>
          </w:tcPr>
          <w:p>
            <w:pPr>
              <w:jc w:val="center"/>
              <w:ind w:right="324"/>
              <w:spacing w:after="0"/>
              <w:rPr>
                <w:sz w:val="20"/>
                <w:szCs w:val="20"/>
                <w:color w:val="auto"/>
              </w:rPr>
            </w:pPr>
            <w:r>
              <w:rPr>
                <w:rFonts w:ascii="Times New Roman" w:cs="Times New Roman" w:eastAsia="Times New Roman" w:hAnsi="Times New Roman"/>
                <w:sz w:val="16"/>
                <w:szCs w:val="16"/>
                <w:color w:val="0000FF"/>
                <w:w w:val="97"/>
              </w:rPr>
              <w:t>19,735,435</w:t>
            </w:r>
          </w:p>
        </w:tc>
        <w:tc>
          <w:tcPr>
            <w:tcW w:w="56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Convenience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Aggregator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II, L.P.</w:t>
            </w:r>
            <w:r>
              <w:rPr>
                <w:rFonts w:ascii="Times New Roman" w:cs="Times New Roman" w:eastAsia="Times New Roman" w:hAnsi="Times New Roman"/>
                <w:sz w:val="20"/>
                <w:szCs w:val="20"/>
                <w:color w:val="008000"/>
                <w:vertAlign w:val="superscript"/>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BW Gas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&amp;</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Pr>
          <w:p>
            <w:pPr>
              <w:spacing w:after="0"/>
              <w:rPr>
                <w:sz w:val="17"/>
                <w:szCs w:val="17"/>
                <w:color w:val="auto"/>
              </w:rPr>
            </w:pPr>
          </w:p>
        </w:tc>
        <w:tc>
          <w:tcPr>
            <w:tcW w:w="780" w:type="dxa"/>
            <w:vAlign w:val="bottom"/>
          </w:tcPr>
          <w:p>
            <w:pPr>
              <w:jc w:val="center"/>
              <w:ind w:right="286"/>
              <w:spacing w:after="0" w:line="197" w:lineRule="exact"/>
              <w:rPr>
                <w:sz w:val="20"/>
                <w:szCs w:val="20"/>
                <w:color w:val="auto"/>
              </w:rPr>
            </w:pPr>
            <w:r>
              <w:rPr>
                <w:rFonts w:ascii="Times New Roman" w:cs="Times New Roman" w:eastAsia="Times New Roman" w:hAnsi="Times New Roman"/>
                <w:sz w:val="22"/>
                <w:szCs w:val="22"/>
                <w:color w:val="0000FF"/>
                <w:w w:val="89"/>
                <w:vertAlign w:val="subscript"/>
              </w:rPr>
              <w:t>A</w:t>
            </w:r>
            <w:r>
              <w:rPr>
                <w:rFonts w:ascii="Times New Roman" w:cs="Times New Roman" w:eastAsia="Times New Roman" w:hAnsi="Times New Roman"/>
                <w:sz w:val="10"/>
                <w:szCs w:val="10"/>
                <w:color w:val="008000"/>
                <w:w w:val="89"/>
              </w:rPr>
              <w:t>(1)</w:t>
            </w:r>
          </w:p>
        </w:tc>
        <w:tc>
          <w:tcPr>
            <w:tcW w:w="1200" w:type="dxa"/>
            <w:vAlign w:val="bottom"/>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w w:val="99"/>
              </w:rPr>
              <w:t>1,686,923</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1,686,923</w:t>
            </w:r>
          </w:p>
        </w:tc>
        <w:tc>
          <w:tcPr>
            <w:tcW w:w="56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Convenience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Aggregator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0"/>
                <w:szCs w:val="20"/>
                <w:color w:val="008000"/>
                <w:vertAlign w:val="superscript"/>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TNT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3"/>
            <w:vMerge w:val="restart"/>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Pr>
          <w:p>
            <w:pPr>
              <w:spacing w:after="0"/>
              <w:rPr>
                <w:sz w:val="17"/>
                <w:szCs w:val="17"/>
                <w:color w:val="auto"/>
              </w:rPr>
            </w:pPr>
          </w:p>
        </w:tc>
        <w:tc>
          <w:tcPr>
            <w:tcW w:w="780" w:type="dxa"/>
            <w:vAlign w:val="bottom"/>
            <w:vMerge w:val="restart"/>
          </w:tcPr>
          <w:p>
            <w:pPr>
              <w:jc w:val="center"/>
              <w:ind w:right="28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(1)</w:t>
            </w:r>
          </w:p>
        </w:tc>
        <w:tc>
          <w:tcPr>
            <w:tcW w:w="760" w:type="dxa"/>
            <w:vAlign w:val="bottom"/>
            <w:vMerge w:val="restart"/>
          </w:tcPr>
          <w:p>
            <w:pPr>
              <w:jc w:val="center"/>
              <w:ind w:left="170"/>
              <w:spacing w:after="0"/>
              <w:rPr>
                <w:sz w:val="20"/>
                <w:szCs w:val="20"/>
                <w:color w:val="auto"/>
              </w:rPr>
            </w:pPr>
            <w:r>
              <w:rPr>
                <w:rFonts w:ascii="Times New Roman" w:cs="Times New Roman" w:eastAsia="Times New Roman" w:hAnsi="Times New Roman"/>
                <w:sz w:val="16"/>
                <w:szCs w:val="16"/>
                <w:color w:val="0000FF"/>
                <w:w w:val="99"/>
              </w:rPr>
              <w:t>70,777</w:t>
            </w:r>
          </w:p>
        </w:tc>
        <w:tc>
          <w:tcPr>
            <w:tcW w:w="44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vMerge w:val="restart"/>
          </w:tcPr>
          <w:p>
            <w:pPr>
              <w:jc w:val="center"/>
              <w:ind w:left="232"/>
              <w:spacing w:after="0"/>
              <w:rPr>
                <w:sz w:val="20"/>
                <w:szCs w:val="20"/>
                <w:color w:val="auto"/>
              </w:rPr>
            </w:pPr>
            <w:r>
              <w:rPr>
                <w:rFonts w:ascii="Times New Roman" w:cs="Times New Roman" w:eastAsia="Times New Roman" w:hAnsi="Times New Roman"/>
                <w:sz w:val="16"/>
                <w:szCs w:val="16"/>
                <w:color w:val="0000FF"/>
                <w:w w:val="99"/>
              </w:rPr>
              <w:t>70,777</w:t>
            </w:r>
          </w:p>
        </w:tc>
        <w:tc>
          <w:tcPr>
            <w:tcW w:w="700" w:type="dxa"/>
            <w:vAlign w:val="bottom"/>
          </w:tcPr>
          <w:p>
            <w:pPr>
              <w:spacing w:after="0"/>
              <w:rPr>
                <w:sz w:val="17"/>
                <w:szCs w:val="17"/>
                <w:color w:val="auto"/>
              </w:rPr>
            </w:pPr>
          </w:p>
        </w:tc>
        <w:tc>
          <w:tcPr>
            <w:tcW w:w="560" w:type="dxa"/>
            <w:vAlign w:val="bottom"/>
            <w:vMerge w:val="restart"/>
          </w:tcPr>
          <w:p>
            <w:pPr>
              <w:jc w:val="center"/>
              <w:ind w:right="331"/>
              <w:spacing w:after="0"/>
              <w:rPr>
                <w:sz w:val="20"/>
                <w:szCs w:val="20"/>
                <w:color w:val="auto"/>
              </w:rPr>
            </w:pPr>
            <w:r>
              <w:rPr>
                <w:rFonts w:ascii="Times New Roman" w:cs="Times New Roman" w:eastAsia="Times New Roman" w:hAnsi="Times New Roman"/>
                <w:sz w:val="16"/>
                <w:szCs w:val="16"/>
                <w:color w:val="0000FF"/>
                <w:w w:val="74"/>
              </w:rPr>
              <w:t>I</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Irrevocable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Trust DTD</w:t>
            </w:r>
            <w:r>
              <w:rPr>
                <w:rFonts w:ascii="Times New Roman" w:cs="Times New Roman" w:eastAsia="Times New Roman" w:hAnsi="Times New Roman"/>
                <w:sz w:val="20"/>
                <w:szCs w:val="20"/>
                <w:color w:val="008000"/>
                <w:vertAlign w:val="superscript"/>
              </w:rPr>
              <w:t>(6)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3"/>
            <w:vMerge w:val="restart"/>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04/21/2026</w:t>
            </w:r>
          </w:p>
        </w:tc>
        <w:tc>
          <w:tcPr>
            <w:tcW w:w="960" w:type="dxa"/>
            <w:vAlign w:val="bottom"/>
          </w:tcPr>
          <w:p>
            <w:pPr>
              <w:spacing w:after="0"/>
              <w:rPr>
                <w:sz w:val="17"/>
                <w:szCs w:val="17"/>
                <w:color w:val="auto"/>
              </w:rPr>
            </w:pPr>
          </w:p>
        </w:tc>
        <w:tc>
          <w:tcPr>
            <w:tcW w:w="780" w:type="dxa"/>
            <w:vAlign w:val="bottom"/>
            <w:vMerge w:val="restart"/>
          </w:tcPr>
          <w:p>
            <w:pPr>
              <w:jc w:val="center"/>
              <w:ind w:right="286"/>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(1)</w:t>
            </w:r>
          </w:p>
        </w:tc>
        <w:tc>
          <w:tcPr>
            <w:tcW w:w="760" w:type="dxa"/>
            <w:vAlign w:val="bottom"/>
            <w:vMerge w:val="restart"/>
          </w:tcPr>
          <w:p>
            <w:pPr>
              <w:jc w:val="center"/>
              <w:ind w:left="170"/>
              <w:spacing w:after="0"/>
              <w:rPr>
                <w:sz w:val="20"/>
                <w:szCs w:val="20"/>
                <w:color w:val="auto"/>
              </w:rPr>
            </w:pPr>
            <w:r>
              <w:rPr>
                <w:rFonts w:ascii="Times New Roman" w:cs="Times New Roman" w:eastAsia="Times New Roman" w:hAnsi="Times New Roman"/>
                <w:sz w:val="16"/>
                <w:szCs w:val="16"/>
                <w:color w:val="0000FF"/>
                <w:w w:val="99"/>
              </w:rPr>
              <w:t>10,712</w:t>
            </w:r>
          </w:p>
        </w:tc>
        <w:tc>
          <w:tcPr>
            <w:tcW w:w="44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gridSpan w:val="2"/>
            <w:vMerge w:val="restart"/>
          </w:tcPr>
          <w:p>
            <w:pPr>
              <w:jc w:val="center"/>
              <w:ind w:left="232"/>
              <w:spacing w:after="0"/>
              <w:rPr>
                <w:sz w:val="20"/>
                <w:szCs w:val="20"/>
                <w:color w:val="auto"/>
              </w:rPr>
            </w:pPr>
            <w:r>
              <w:rPr>
                <w:rFonts w:ascii="Times New Roman" w:cs="Times New Roman" w:eastAsia="Times New Roman" w:hAnsi="Times New Roman"/>
                <w:sz w:val="16"/>
                <w:szCs w:val="16"/>
                <w:color w:val="0000FF"/>
                <w:w w:val="99"/>
              </w:rPr>
              <w:t>10,712</w:t>
            </w:r>
          </w:p>
        </w:tc>
        <w:tc>
          <w:tcPr>
            <w:tcW w:w="700" w:type="dxa"/>
            <w:vAlign w:val="bottom"/>
          </w:tcPr>
          <w:p>
            <w:pPr>
              <w:spacing w:after="0"/>
              <w:rPr>
                <w:sz w:val="17"/>
                <w:szCs w:val="17"/>
                <w:color w:val="auto"/>
              </w:rPr>
            </w:pPr>
          </w:p>
        </w:tc>
        <w:tc>
          <w:tcPr>
            <w:tcW w:w="560" w:type="dxa"/>
            <w:vAlign w:val="bottom"/>
            <w:vMerge w:val="restart"/>
          </w:tcPr>
          <w:p>
            <w:pPr>
              <w:jc w:val="center"/>
              <w:ind w:right="331"/>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Brookwood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Financial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Inc.</w:t>
            </w:r>
            <w:r>
              <w:rPr>
                <w:rFonts w:ascii="Times New Roman" w:cs="Times New Roman" w:eastAsia="Times New Roman" w:hAnsi="Times New Roman"/>
                <w:sz w:val="20"/>
                <w:szCs w:val="20"/>
                <w:color w:val="008000"/>
                <w:vertAlign w:val="superscript"/>
              </w:rPr>
              <w:t>(7)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top w:val="single" w:sz="8" w:color="2C2C2C"/>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04/24/2026</w:t>
            </w:r>
          </w:p>
        </w:tc>
        <w:tc>
          <w:tcPr>
            <w:tcW w:w="9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ind w:right="286"/>
              <w:spacing w:after="0"/>
              <w:rPr>
                <w:sz w:val="20"/>
                <w:szCs w:val="20"/>
                <w:color w:val="auto"/>
              </w:rPr>
            </w:pPr>
            <w:r>
              <w:rPr>
                <w:rFonts w:ascii="Times New Roman" w:cs="Times New Roman" w:eastAsia="Times New Roman" w:hAnsi="Times New Roman"/>
                <w:sz w:val="12"/>
                <w:szCs w:val="12"/>
                <w:color w:val="0000FF"/>
                <w:w w:val="91"/>
              </w:rPr>
              <w:t>A</w:t>
            </w:r>
          </w:p>
        </w:tc>
        <w:tc>
          <w:tcPr>
            <w:tcW w:w="1200" w:type="dxa"/>
            <w:vAlign w:val="bottom"/>
            <w:tcBorders>
              <w:top w:val="single" w:sz="8" w:color="2C2C2C"/>
              <w:bottom w:val="single" w:sz="8" w:color="2C2C2C"/>
            </w:tcBorders>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w w:val="95"/>
              </w:rPr>
              <w:t>1,080,000</w:t>
            </w:r>
            <w:r>
              <w:rPr>
                <w:rFonts w:ascii="Times New Roman" w:cs="Times New Roman" w:eastAsia="Times New Roman" w:hAnsi="Times New Roman"/>
                <w:sz w:val="20"/>
                <w:szCs w:val="20"/>
                <w:color w:val="008000"/>
                <w:w w:val="95"/>
                <w:vertAlign w:val="superscript"/>
              </w:rPr>
              <w:t>(8)</w:t>
            </w:r>
          </w:p>
        </w:tc>
        <w:tc>
          <w:tcPr>
            <w:tcW w:w="140" w:type="dxa"/>
            <w:vAlign w:val="bottom"/>
            <w:tcBorders>
              <w:top w:val="single" w:sz="8" w:color="2C2C2C"/>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480" w:type="dxa"/>
            <w:vAlign w:val="bottom"/>
            <w:tcBorders>
              <w:top w:val="single" w:sz="8" w:color="2C2C2C"/>
              <w:bottom w:val="single" w:sz="8" w:color="2C2C2C"/>
            </w:tcBorders>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1,080,000</w:t>
            </w:r>
          </w:p>
        </w:tc>
        <w:tc>
          <w:tcPr>
            <w:tcW w:w="560" w:type="dxa"/>
            <w:vAlign w:val="bottom"/>
            <w:tcBorders>
              <w:top w:val="single" w:sz="8" w:color="2C2C2C"/>
              <w:bottom w:val="single" w:sz="8" w:color="2C2C2C"/>
            </w:tcBorders>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6"/>
                <w:szCs w:val="16"/>
                <w:color w:val="0000FF"/>
                <w:w w:val="98"/>
              </w:rPr>
              <w:t>04/24/2026</w:t>
            </w:r>
          </w:p>
        </w:tc>
        <w:tc>
          <w:tcPr>
            <w:tcW w:w="9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2"/>
                <w:szCs w:val="12"/>
                <w:color w:val="0000FF"/>
                <w:w w:val="91"/>
              </w:rPr>
              <w:t>A</w:t>
            </w:r>
          </w:p>
        </w:tc>
        <w:tc>
          <w:tcPr>
            <w:tcW w:w="1200" w:type="dxa"/>
            <w:vAlign w:val="bottom"/>
            <w:tcBorders>
              <w:bottom w:val="single" w:sz="8" w:color="2C2C2C"/>
            </w:tcBorders>
            <w:gridSpan w:val="2"/>
          </w:tcPr>
          <w:p>
            <w:pPr>
              <w:jc w:val="center"/>
              <w:ind w:right="143"/>
              <w:spacing w:after="0"/>
              <w:rPr>
                <w:sz w:val="20"/>
                <w:szCs w:val="20"/>
                <w:color w:val="auto"/>
              </w:rPr>
            </w:pPr>
            <w:r>
              <w:rPr>
                <w:rFonts w:ascii="Times New Roman" w:cs="Times New Roman" w:eastAsia="Times New Roman" w:hAnsi="Times New Roman"/>
                <w:sz w:val="16"/>
                <w:szCs w:val="16"/>
                <w:color w:val="0000FF"/>
                <w:w w:val="90"/>
              </w:rPr>
              <w:t>1,080,000</w:t>
            </w:r>
            <w:r>
              <w:rPr>
                <w:rFonts w:ascii="Times New Roman" w:cs="Times New Roman" w:eastAsia="Times New Roman" w:hAnsi="Times New Roman"/>
                <w:sz w:val="20"/>
                <w:szCs w:val="20"/>
                <w:color w:val="008000"/>
                <w:w w:val="90"/>
                <w:vertAlign w:val="superscript"/>
              </w:rPr>
              <w:t>(9)(10)</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480" w:type="dxa"/>
            <w:vAlign w:val="bottom"/>
            <w:tcBorders>
              <w:bottom w:val="single" w:sz="8" w:color="2C2C2C"/>
            </w:tcBorders>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2,160,000</w:t>
            </w:r>
          </w:p>
        </w:tc>
        <w:tc>
          <w:tcPr>
            <w:tcW w:w="56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2"/>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80" w:type="dxa"/>
            <w:vAlign w:val="bottom"/>
            <w:gridSpan w:val="10"/>
          </w:tcPr>
          <w:p>
            <w:pPr>
              <w:jc w:val="right"/>
              <w:ind w:right="20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jc w:val="center"/>
              <w:ind w:right="6"/>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6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jc w:val="center"/>
              <w:ind w:right="6"/>
              <w:spacing w:after="0" w:line="123"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9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w w:val="99"/>
              </w:rPr>
              <w:t>Acquired (A) or</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w w:val="98"/>
              </w:rPr>
              <w:t>(Instr. 3 and 4)</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Direct (D)</w:t>
            </w:r>
          </w:p>
        </w:tc>
        <w:tc>
          <w:tcPr>
            <w:tcW w:w="6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w w:val="98"/>
              </w:rPr>
              <w:t>Disposed of (D)</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(Instr. 3, 4 and</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26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960" w:type="dxa"/>
            <w:vAlign w:val="bottom"/>
          </w:tcPr>
          <w:p>
            <w:pPr>
              <w:spacing w:after="0"/>
              <w:rPr>
                <w:sz w:val="14"/>
                <w:szCs w:val="14"/>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(11)</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440" w:type="dxa"/>
            <w:vAlign w:val="bottom"/>
          </w:tcPr>
          <w:p>
            <w:pPr>
              <w:ind w:left="60"/>
              <w:spacing w:after="0"/>
              <w:rPr>
                <w:sz w:val="20"/>
                <w:szCs w:val="20"/>
                <w:color w:val="auto"/>
              </w:rPr>
            </w:pPr>
            <w:r>
              <w:rPr>
                <w:rFonts w:ascii="Times New Roman" w:cs="Times New Roman" w:eastAsia="Times New Roman" w:hAnsi="Times New Roman"/>
                <w:sz w:val="12"/>
                <w:szCs w:val="12"/>
                <w:color w:val="0000FF"/>
                <w:w w:val="95"/>
              </w:rPr>
              <w:t>Class A</w:t>
            </w:r>
          </w:p>
        </w:tc>
        <w:tc>
          <w:tcPr>
            <w:tcW w:w="140" w:type="dxa"/>
            <w:vAlign w:val="bottom"/>
          </w:tcPr>
          <w:p>
            <w:pPr>
              <w:spacing w:after="0"/>
              <w:rPr>
                <w:sz w:val="14"/>
                <w:szCs w:val="14"/>
                <w:color w:val="auto"/>
              </w:rPr>
            </w:pPr>
          </w:p>
        </w:tc>
        <w:tc>
          <w:tcPr>
            <w:tcW w:w="76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6"/>
                <w:szCs w:val="16"/>
                <w:color w:val="0000FF"/>
              </w:rPr>
              <w:t>267,804</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80" w:type="dxa"/>
            <w:vAlign w:val="bottom"/>
            <w:vMerge w:val="restart"/>
          </w:tcPr>
          <w:p>
            <w:pPr>
              <w:ind w:left="300"/>
              <w:spacing w:after="0" w:line="135" w:lineRule="exact"/>
              <w:rPr>
                <w:sz w:val="20"/>
                <w:szCs w:val="20"/>
                <w:color w:val="auto"/>
              </w:rPr>
            </w:pPr>
            <w:r>
              <w:rPr>
                <w:rFonts w:ascii="Times New Roman" w:cs="Times New Roman" w:eastAsia="Times New Roman" w:hAnsi="Times New Roman"/>
                <w:sz w:val="12"/>
                <w:szCs w:val="12"/>
                <w:color w:val="0000FF"/>
              </w:rPr>
              <w:t>04/21/2026</w:t>
            </w:r>
          </w:p>
        </w:tc>
        <w:tc>
          <w:tcPr>
            <w:tcW w:w="10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60" w:type="dxa"/>
            <w:vAlign w:val="bottom"/>
            <w:vMerge w:val="restart"/>
          </w:tcPr>
          <w:p>
            <w:pPr>
              <w:ind w:left="500"/>
              <w:spacing w:after="0" w:line="135" w:lineRule="exact"/>
              <w:rPr>
                <w:sz w:val="20"/>
                <w:szCs w:val="20"/>
                <w:color w:val="auto"/>
              </w:rPr>
            </w:pPr>
            <w:r>
              <w:rPr>
                <w:rFonts w:ascii="Times New Roman" w:cs="Times New Roman" w:eastAsia="Times New Roman" w:hAnsi="Times New Roman"/>
                <w:sz w:val="12"/>
                <w:szCs w:val="12"/>
                <w:color w:val="0000FF"/>
              </w:rPr>
              <w:t>267,804</w:t>
            </w: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ind w:left="180"/>
              <w:spacing w:after="0" w:line="135" w:lineRule="exact"/>
              <w:rPr>
                <w:sz w:val="20"/>
                <w:szCs w:val="20"/>
                <w:color w:val="auto"/>
              </w:rPr>
            </w:pPr>
            <w:r>
              <w:rPr>
                <w:rFonts w:ascii="Times New Roman" w:cs="Times New Roman" w:eastAsia="Times New Roman" w:hAnsi="Times New Roman"/>
                <w:sz w:val="12"/>
                <w:szCs w:val="12"/>
                <w:color w:val="0000FF"/>
              </w:rPr>
              <w:t>267,804</w:t>
            </w:r>
          </w:p>
        </w:tc>
        <w:tc>
          <w:tcPr>
            <w:tcW w:w="560" w:type="dxa"/>
            <w:vAlign w:val="bottom"/>
            <w:vMerge w:val="restart"/>
          </w:tcPr>
          <w:p>
            <w:pPr>
              <w:ind w:left="42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-1600200</wp:posOffset>
            </wp:positionV>
            <wp:extent cx="28575" cy="1795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795145"/>
                    </a:xfrm>
                    <a:prstGeom prst="rect">
                      <a:avLst/>
                    </a:prstGeom>
                    <a:noFill/>
                  </pic:spPr>
                </pic:pic>
              </a:graphicData>
            </a:graphic>
          </wp:anchor>
        </w:drawing>
      </w:r>
    </w:p>
    <w:p>
      <w:pPr>
        <w:sectPr>
          <w:pgSz w:w="11900" w:h="16838" w:orient="portrait"/>
          <w:cols w:equalWidth="0" w:num="1">
            <w:col w:w="11080"/>
          </w:cols>
          <w:pgMar w:left="460" w:top="212"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3788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9770" cy="3788410"/>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BW Gas</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9,367,808</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&amp;</w:t>
            </w:r>
          </w:p>
        </w:tc>
        <w:tc>
          <w:tcPr>
            <w:tcW w:w="0" w:type="dxa"/>
            <w:vAlign w:val="bottom"/>
          </w:tcPr>
          <w:p>
            <w:pPr>
              <w:spacing w:after="0"/>
              <w:rPr>
                <w:sz w:val="1"/>
                <w:szCs w:val="1"/>
                <w:color w:val="auto"/>
              </w:rPr>
            </w:pPr>
          </w:p>
        </w:tc>
      </w:tr>
      <w:tr>
        <w:trPr>
          <w:trHeight w:val="73"/>
        </w:trPr>
        <w:tc>
          <w:tcPr>
            <w:tcW w:w="640" w:type="dxa"/>
            <w:vAlign w:val="bottom"/>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04/21/2026</w:t>
            </w: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restart"/>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w w:val="99"/>
              </w:rPr>
              <w:t>9,367,808</w:t>
            </w: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9"/>
              </w:rPr>
              <w:t>9,367,808</w:t>
            </w:r>
          </w:p>
        </w:tc>
        <w:tc>
          <w:tcPr>
            <w:tcW w:w="700" w:type="dxa"/>
            <w:vAlign w:val="bottom"/>
            <w:vMerge w:val="restart"/>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Convenience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Aggregator,</w:t>
            </w: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BW Gas</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19,735,435</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&amp;</w:t>
            </w:r>
          </w:p>
        </w:tc>
        <w:tc>
          <w:tcPr>
            <w:tcW w:w="0" w:type="dxa"/>
            <w:vAlign w:val="bottom"/>
          </w:tcPr>
          <w:p>
            <w:pPr>
              <w:spacing w:after="0"/>
              <w:rPr>
                <w:sz w:val="1"/>
                <w:szCs w:val="1"/>
                <w:color w:val="auto"/>
              </w:rPr>
            </w:pPr>
          </w:p>
        </w:tc>
      </w:tr>
      <w:tr>
        <w:trPr>
          <w:trHeight w:val="73"/>
        </w:trPr>
        <w:tc>
          <w:tcPr>
            <w:tcW w:w="640" w:type="dxa"/>
            <w:vAlign w:val="bottom"/>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04/21/2026</w:t>
            </w: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restart"/>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rPr>
              <w:t>19,735,435</w:t>
            </w: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19,735,435</w:t>
            </w:r>
          </w:p>
        </w:tc>
        <w:tc>
          <w:tcPr>
            <w:tcW w:w="700" w:type="dxa"/>
            <w:vAlign w:val="bottom"/>
            <w:vMerge w:val="restart"/>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Convenience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Aggregator</w:t>
            </w: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II, 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BW Gas</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1,686,923</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&amp;</w:t>
            </w:r>
          </w:p>
        </w:tc>
        <w:tc>
          <w:tcPr>
            <w:tcW w:w="0" w:type="dxa"/>
            <w:vAlign w:val="bottom"/>
          </w:tcPr>
          <w:p>
            <w:pPr>
              <w:spacing w:after="0"/>
              <w:rPr>
                <w:sz w:val="1"/>
                <w:szCs w:val="1"/>
                <w:color w:val="auto"/>
              </w:rPr>
            </w:pPr>
          </w:p>
        </w:tc>
      </w:tr>
      <w:tr>
        <w:trPr>
          <w:trHeight w:val="73"/>
        </w:trPr>
        <w:tc>
          <w:tcPr>
            <w:tcW w:w="640" w:type="dxa"/>
            <w:vAlign w:val="bottom"/>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04/21/2026</w:t>
            </w: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restart"/>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w w:val="99"/>
              </w:rPr>
              <w:t>1,686,923</w:t>
            </w: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9"/>
              </w:rPr>
              <w:t>1,686,923</w:t>
            </w:r>
          </w:p>
        </w:tc>
        <w:tc>
          <w:tcPr>
            <w:tcW w:w="700" w:type="dxa"/>
            <w:vAlign w:val="bottom"/>
            <w:vMerge w:val="restart"/>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Convenience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Aggregator</w:t>
            </w: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III, L.P.</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TNT</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100"/>
              <w:spacing w:after="0" w:line="271"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70,777</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2011</w:t>
            </w:r>
          </w:p>
        </w:tc>
        <w:tc>
          <w:tcPr>
            <w:tcW w:w="0" w:type="dxa"/>
            <w:vAlign w:val="bottom"/>
          </w:tcPr>
          <w:p>
            <w:pPr>
              <w:spacing w:after="0"/>
              <w:rPr>
                <w:sz w:val="1"/>
                <w:szCs w:val="1"/>
                <w:color w:val="auto"/>
              </w:rPr>
            </w:pPr>
          </w:p>
        </w:tc>
      </w:tr>
      <w:tr>
        <w:trPr>
          <w:trHeight w:val="73"/>
        </w:trPr>
        <w:tc>
          <w:tcPr>
            <w:tcW w:w="640" w:type="dxa"/>
            <w:vAlign w:val="bottom"/>
            <w:vMerge w:val="continue"/>
          </w:tcPr>
          <w:p>
            <w:pPr>
              <w:spacing w:after="0"/>
              <w:rPr>
                <w:sz w:val="6"/>
                <w:szCs w:val="6"/>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04/21/2026</w:t>
            </w: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restart"/>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w w:val="96"/>
              </w:rPr>
              <w:t>70,777</w:t>
            </w: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70,777</w:t>
            </w:r>
          </w:p>
        </w:tc>
        <w:tc>
          <w:tcPr>
            <w:tcW w:w="700" w:type="dxa"/>
            <w:vAlign w:val="bottom"/>
            <w:vMerge w:val="restart"/>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Irrevocable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Trust</w:t>
            </w: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60"/>
              <w:spacing w:after="0" w:line="221" w:lineRule="exact"/>
              <w:rPr>
                <w:sz w:val="20"/>
                <w:szCs w:val="20"/>
                <w:color w:val="auto"/>
              </w:rPr>
            </w:pPr>
            <w:r>
              <w:rPr>
                <w:rFonts w:ascii="Times New Roman" w:cs="Times New Roman" w:eastAsia="Times New Roman" w:hAnsi="Times New Roman"/>
                <w:sz w:val="12"/>
                <w:szCs w:val="12"/>
                <w:color w:val="0000FF"/>
              </w:rPr>
              <w:t>DTD</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LLC</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(11)</w:t>
            </w: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980" w:type="dxa"/>
            <w:vAlign w:val="bottom"/>
          </w:tcPr>
          <w:p>
            <w:pPr>
              <w:spacing w:after="0"/>
              <w:rPr>
                <w:sz w:val="6"/>
                <w:szCs w:val="6"/>
                <w:color w:val="auto"/>
              </w:rPr>
            </w:pPr>
          </w:p>
        </w:tc>
        <w:tc>
          <w:tcPr>
            <w:tcW w:w="740" w:type="dxa"/>
            <w:vAlign w:val="bottom"/>
            <w:vMerge w:val="restart"/>
          </w:tcPr>
          <w:p>
            <w:pPr>
              <w:jc w:val="right"/>
              <w:ind w:right="227"/>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80" w:type="dxa"/>
            <w:vAlign w:val="bottom"/>
            <w:vMerge w:val="continue"/>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10,712</w:t>
            </w: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Brookwood</w:t>
            </w:r>
          </w:p>
        </w:tc>
        <w:tc>
          <w:tcPr>
            <w:tcW w:w="0" w:type="dxa"/>
            <w:vAlign w:val="bottom"/>
          </w:tcPr>
          <w:p>
            <w:pPr>
              <w:spacing w:after="0"/>
              <w:rPr>
                <w:sz w:val="1"/>
                <w:szCs w:val="1"/>
                <w:color w:val="auto"/>
              </w:rPr>
            </w:pPr>
          </w:p>
        </w:tc>
      </w:tr>
      <w:tr>
        <w:trPr>
          <w:trHeight w:val="61"/>
        </w:trPr>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04/21/2026</w:t>
            </w:r>
          </w:p>
        </w:tc>
        <w:tc>
          <w:tcPr>
            <w:tcW w:w="1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restart"/>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w w:val="96"/>
              </w:rPr>
              <w:t>10,712</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4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10,712</w:t>
            </w:r>
          </w:p>
        </w:tc>
        <w:tc>
          <w:tcPr>
            <w:tcW w:w="70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Interests</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Financial</w:t>
            </w:r>
          </w:p>
        </w:tc>
        <w:tc>
          <w:tcPr>
            <w:tcW w:w="0" w:type="dxa"/>
            <w:vAlign w:val="bottom"/>
          </w:tcPr>
          <w:p>
            <w:pPr>
              <w:spacing w:after="0"/>
              <w:rPr>
                <w:sz w:val="1"/>
                <w:szCs w:val="1"/>
                <w:color w:val="auto"/>
              </w:rPr>
            </w:pPr>
          </w:p>
        </w:tc>
      </w:tr>
      <w:tr>
        <w:trPr>
          <w:trHeight w:val="61"/>
        </w:trPr>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 Inc.</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right="74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reorganization in connection with its initial public offering, as described in the registration statement on Form S-1 relating to the initial public offering (the "Registration Statement"). These securities were previously reported on a Form 3 filed by the Reporting Person.</w:t>
      </w:r>
    </w:p>
    <w:p>
      <w:pPr>
        <w:spacing w:after="0" w:line="7"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Trkla has a controlling interest in Brookwood Financial Partners, LLC, and as a result, may be deemed to share beneficial ownership of the securities held of record by Brookwood Financial Partners, LLC.</w:t>
      </w:r>
    </w:p>
    <w:p>
      <w:pPr>
        <w:spacing w:after="0" w:line="45" w:lineRule="exact"/>
        <w:rPr>
          <w:rFonts w:ascii="Times New Roman" w:cs="Times New Roman" w:eastAsia="Times New Roman" w:hAnsi="Times New Roman"/>
          <w:sz w:val="12"/>
          <w:szCs w:val="12"/>
          <w:color w:val="008000"/>
        </w:rPr>
      </w:pPr>
    </w:p>
    <w:p>
      <w:pPr>
        <w:ind w:left="20" w:right="32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Trkla has a controlling interest in the general partner of BW Gas &amp; Convenience Aggregator, L.P. ("Aggregator I"), and as a result, may be deemed to share beneficial ownership of the securities held of record by Aggregator I.</w:t>
      </w:r>
    </w:p>
    <w:p>
      <w:pPr>
        <w:spacing w:after="0" w:line="7" w:lineRule="exact"/>
        <w:rPr>
          <w:rFonts w:ascii="Times New Roman" w:cs="Times New Roman" w:eastAsia="Times New Roman" w:hAnsi="Times New Roman"/>
          <w:sz w:val="12"/>
          <w:szCs w:val="12"/>
          <w:color w:val="008000"/>
        </w:rPr>
      </w:pPr>
    </w:p>
    <w:p>
      <w:pPr>
        <w:ind w:left="20" w:right="16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Trkla has a controlling interest in the general partner of BW Gas &amp; Convenience Aggregator II, L.P. ("Aggregator II"), and as a result, may be deemed to share beneficial ownership of the securities held of record by Aggregator II.</w:t>
      </w:r>
    </w:p>
    <w:p>
      <w:pPr>
        <w:spacing w:after="0" w:line="7" w:lineRule="exact"/>
        <w:rPr>
          <w:rFonts w:ascii="Times New Roman" w:cs="Times New Roman" w:eastAsia="Times New Roman" w:hAnsi="Times New Roman"/>
          <w:sz w:val="12"/>
          <w:szCs w:val="12"/>
          <w:color w:val="008000"/>
        </w:rPr>
      </w:pPr>
    </w:p>
    <w:p>
      <w:pPr>
        <w:ind w:left="20" w:right="24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Trkla has a controlling interest in the general partner of BW Gas &amp; Convenience Aggregator III, L.P. ("Aggregator III"), and as a result, may be deemed to share beneficial ownership of the securities held of record by Aggregator III.</w:t>
      </w:r>
    </w:p>
    <w:p>
      <w:pPr>
        <w:spacing w:after="0" w:line="7" w:lineRule="exact"/>
        <w:rPr>
          <w:rFonts w:ascii="Times New Roman" w:cs="Times New Roman" w:eastAsia="Times New Roman" w:hAnsi="Times New Roman"/>
          <w:sz w:val="12"/>
          <w:szCs w:val="12"/>
          <w:color w:val="008000"/>
        </w:rPr>
      </w:pPr>
    </w:p>
    <w:p>
      <w:pPr>
        <w:ind w:left="20" w:right="56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that were inadvertently reported as directly held on a Form 3 filed by the Reporting Person. Mr. Trkla is trustee of TNT 2011 Irrevocable Trust DTD, and as a result, may be deemed to share beneficial ownership of the securities held of record by TNT 2011 Irrevocable Trust DTD.</w:t>
      </w:r>
    </w:p>
    <w:p>
      <w:pPr>
        <w:spacing w:after="0" w:line="7" w:lineRule="exact"/>
        <w:rPr>
          <w:rFonts w:ascii="Times New Roman" w:cs="Times New Roman" w:eastAsia="Times New Roman" w:hAnsi="Times New Roman"/>
          <w:sz w:val="12"/>
          <w:szCs w:val="12"/>
          <w:color w:val="008000"/>
        </w:rPr>
      </w:pPr>
    </w:p>
    <w:p>
      <w:pPr>
        <w:ind w:left="20" w:right="24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that were inadvertently reported as directly held on a Form 3 filed by the Reporting Person. Mr. Trkla has a controlling interest in Brookwood Financial Co., Inc., and as a result, may be deemed to share beneficial ownership of the securities held of record by Brookwood Financial Co., Inc.</w:t>
      </w:r>
    </w:p>
    <w:p>
      <w:pPr>
        <w:spacing w:after="0" w:line="7" w:lineRule="exact"/>
        <w:rPr>
          <w:rFonts w:ascii="Times New Roman" w:cs="Times New Roman" w:eastAsia="Times New Roman" w:hAnsi="Times New Roman"/>
          <w:sz w:val="12"/>
          <w:szCs w:val="12"/>
          <w:color w:val="008000"/>
        </w:rPr>
      </w:pPr>
    </w:p>
    <w:p>
      <w:pPr>
        <w:ind w:left="20" w:right="140" w:hanging="5"/>
        <w:spacing w:after="0" w:line="271"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restricted stock units (the "RSUs"), each of which represents a contingent right to receive one share of the Issuer's Class A Common Stock. The RSUs will vest in equal installments on each of the first three anniversaries of the date of effectiveness of the Registration Statement.</w:t>
      </w:r>
    </w:p>
    <w:p>
      <w:pPr>
        <w:spacing w:after="0" w:line="7" w:lineRule="exact"/>
        <w:rPr>
          <w:rFonts w:ascii="Times New Roman" w:cs="Times New Roman" w:eastAsia="Times New Roman" w:hAnsi="Times New Roman"/>
          <w:sz w:val="12"/>
          <w:szCs w:val="12"/>
          <w:color w:val="008000"/>
        </w:rPr>
      </w:pPr>
    </w:p>
    <w:p>
      <w:pPr>
        <w:ind w:left="20" w:right="140" w:hanging="5"/>
        <w:spacing w:after="0" w:line="243"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stock units (the "PSUs"), each of which represents a contingent right to receive one share of the Issuer's Class A Common Stock. The PSUs will be eligible to vest 50% on the later of (i) the first day following the date on which the 30-day volume weighted average market price of a share of Class A Common Stock equals or exceeds 1.5x the initial offering price per share of Class A Common Stock and (ii) the second anniversary of the date of effectiveness of the Registration Statement; and the remaining 50% will be eligible to vest on the later of (i) the first day following the date on which the 30-day volume weighted average market price of a share of Class A Common Stock equals or exceeds 2.0x the initial offering price per share of Class A Common Stock and (ii) the third anniversary of the date of effectiveness of the Registration Statement (with no linear interpolation if the market price falls between the two stock price hurdles).</w:t>
      </w:r>
    </w:p>
    <w:p>
      <w:pPr>
        <w:spacing w:after="0" w:line="24" w:lineRule="exact"/>
        <w:rPr>
          <w:rFonts w:ascii="Times New Roman" w:cs="Times New Roman" w:eastAsia="Times New Roman" w:hAnsi="Times New Roman"/>
          <w:sz w:val="12"/>
          <w:szCs w:val="12"/>
          <w:color w:val="008000"/>
        </w:rPr>
      </w:pPr>
    </w:p>
    <w:p>
      <w:pPr>
        <w:ind w:left="200" w:hanging="185"/>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If these vesting conditions are not met by the fifth anniversary of the date of effectiveness of the Registration Statement, any unvested PSUs will be forfeited automatically for no consideration.</w:t>
      </w:r>
    </w:p>
    <w:p>
      <w:pPr>
        <w:spacing w:after="0" w:line="45" w:lineRule="exact"/>
        <w:rPr>
          <w:rFonts w:ascii="Times New Roman" w:cs="Times New Roman" w:eastAsia="Times New Roman" w:hAnsi="Times New Roman"/>
          <w:sz w:val="12"/>
          <w:szCs w:val="12"/>
          <w:color w:val="008000"/>
        </w:rPr>
      </w:pPr>
    </w:p>
    <w:p>
      <w:pPr>
        <w:ind w:left="20" w:right="200" w:hanging="5"/>
        <w:spacing w:after="0" w:line="271" w:lineRule="auto"/>
        <w:tabs>
          <w:tab w:leader="none" w:pos="19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membership units of BW Ultimate Parent, LLC (the "LLC Interests") may be redeemed by the Reporting Person at any time at the option of the holder for shares of Class A Common Stock on a 1-to-1 basis, and a corresponding number of shares of Class B Common Stock will be forfeited in connection with the redemption. The LLC Interests have no expiration date.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Chairman, President and Chief Executive Officer</w:t>
      </w:r>
    </w:p>
    <w:p>
      <w:pPr>
        <w:spacing w:after="0" w:line="5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Thomas N. Trkla</w:t>
            </w:r>
          </w:p>
        </w:tc>
        <w:tc>
          <w:tcPr>
            <w:tcW w:w="7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04/28/2026</w:t>
            </w:r>
          </w:p>
        </w:tc>
      </w:tr>
      <w:tr>
        <w:trPr>
          <w:trHeight w:val="20"/>
        </w:trPr>
        <w:tc>
          <w:tcPr>
            <w:tcW w:w="1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20" w:right="3960" w:hanging="5"/>
        <w:spacing w:after="0" w:line="319" w:lineRule="auto"/>
        <w:tabs>
          <w:tab w:leader="none" w:pos="14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4244" TargetMode="External"/><Relationship Id="rId14" Type="http://schemas.openxmlformats.org/officeDocument/2006/relationships/hyperlink" Target="http://www.sec.gov/cgi-bin/browse-edgar?action=getcompany&amp;CIK=00018598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2026-04-28T16:10:18Z</dcterms:created>
  <dcterms:modified xsi:type="dcterms:W3CDTF">2026-04-28T16:10:18Z</dcterms:modified>
</cp:coreProperties>
</file>