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997d1_8k.htm"/>
      <w:bookmarkStart w:id="1" w:name="kstm262299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3__20"/>
      <w:bookmarkEnd w:id="2"/>
      <w:r>
        <w:rPr>
          <w:rFonts w:ascii="Times New Roman;Times;Serif" w:hAnsi="Times New Roman;Times;Serif"/>
          <w:b/>
          <w:i w:val="false"/>
          <w:caps w:val="false"/>
          <w:smallCaps w:val="false"/>
          <w:sz w:val="36"/>
        </w:rPr>
        <w:t>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F_edei--EntityRegistrantName_c2026"/>
      <w:bookmarkEnd w:id="4"/>
      <w:r>
        <w:rPr>
          <w:rFonts w:ascii="Times New Roman;Times;Serif" w:hAnsi="Times New Roman;Times;Serif"/>
          <w:b/>
          <w:i w:val="false"/>
          <w:caps w:val="false"/>
          <w:smallCaps w:val="false"/>
          <w:sz w:val="48"/>
        </w:rPr>
        <w:t>Yesway,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tbl>
      <w:tblPr>
        <w:tblW w:w="5792" w:type="dxa"/>
        <w:jc w:val="left"/>
        <w:tblInd w:w="0" w:type="dxa"/>
        <w:tblLayout w:type="fixed"/>
        <w:tblCellMar>
          <w:top w:w="0" w:type="dxa"/>
          <w:left w:w="0" w:type="dxa"/>
          <w:bottom w:w="0" w:type="dxa"/>
          <w:right w:w="0" w:type="dxa"/>
        </w:tblCellMar>
      </w:tblPr>
      <w:tblGrid>
        <w:gridCol w:w="2550"/>
        <w:gridCol w:w="70"/>
        <w:gridCol w:w="1295"/>
        <w:gridCol w:w="70"/>
        <w:gridCol w:w="1807"/>
      </w:tblGrid>
      <w:tr>
        <w:trPr/>
        <w:tc>
          <w:tcPr>
            <w:tcW w:w="255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 </w:t>
            </w:r>
          </w:p>
        </w:tc>
      </w:tr>
      <w:tr>
        <w:trPr/>
        <w:tc>
          <w:tcPr>
            <w:tcW w:w="255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A_edei--EntityFileNumber_c20260813"/>
            <w:bookmarkEnd w:id="6"/>
            <w:r>
              <w:rPr>
                <w:b/>
                <w:sz w:val="20"/>
              </w:rPr>
              <w:t>001-43243</w:t>
            </w:r>
          </w:p>
        </w:tc>
        <w:tc>
          <w:tcPr>
            <w:tcW w:w="7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center"/>
              <w:rPr>
                <w:b/>
                <w:sz w:val="20"/>
              </w:rPr>
            </w:pPr>
            <w:bookmarkStart w:id="7" w:name="xdx_90D_edei--EntityTaxIdentificationNum"/>
            <w:bookmarkEnd w:id="7"/>
            <w:r>
              <w:rPr>
                <w:b/>
                <w:sz w:val="20"/>
              </w:rPr>
              <w:t>86-3446060</w:t>
            </w:r>
          </w:p>
        </w:tc>
      </w:tr>
      <w:tr>
        <w:trPr/>
        <w:tc>
          <w:tcPr>
            <w:tcW w:w="25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7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915" w:type="dxa"/>
            <w:gridSpan w:val="3"/>
            <w:tcBorders/>
            <w:vAlign w:val="center"/>
          </w:tcPr>
          <w:p>
            <w:pPr>
              <w:pStyle w:val="TableContents"/>
              <w:bidi w:val="0"/>
              <w:spacing w:before="0" w:after="283"/>
              <w:jc w:val="left"/>
              <w:rPr/>
            </w:pPr>
            <w:r>
              <w:rPr/>
              <w:t> </w:t>
            </w:r>
          </w:p>
        </w:tc>
        <w:tc>
          <w:tcPr>
            <w:tcW w:w="1877" w:type="dxa"/>
            <w:gridSpan w:val="2"/>
            <w:tcBorders/>
            <w:vAlign w:val="center"/>
          </w:tcPr>
          <w:p>
            <w:pPr>
              <w:pStyle w:val="TableContents"/>
              <w:bidi w:val="0"/>
              <w:spacing w:before="0" w:after="283"/>
              <w:jc w:val="left"/>
              <w:rPr/>
            </w:pPr>
            <w:r>
              <w:rPr/>
              <w:t> </w:t>
            </w:r>
          </w:p>
        </w:tc>
      </w:tr>
      <w:tr>
        <w:trPr/>
        <w:tc>
          <w:tcPr>
            <w:tcW w:w="5792" w:type="dxa"/>
            <w:gridSpan w:val="5"/>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2301 Eagle Parkway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Fort Worth, </w:t>
            </w:r>
            <w:bookmarkStart w:id="10" w:name="xdx_907_edei--EntityAddressStateOrProvin"/>
            <w:bookmarkEnd w:id="10"/>
            <w:r>
              <w:rPr>
                <w:rFonts w:ascii="Times New Roman;Times;Serif" w:hAnsi="Times New Roman;Times;Serif"/>
                <w:b/>
                <w:i w:val="false"/>
                <w:caps w:val="false"/>
                <w:smallCaps w:val="false"/>
                <w:sz w:val="20"/>
              </w:rPr>
              <w:t xml:space="preserve">TX </w:t>
            </w:r>
            <w:bookmarkStart w:id="11" w:name="xdx_907_edei--EntityAddressPostalZipCode"/>
            <w:bookmarkEnd w:id="11"/>
            <w:r>
              <w:rPr>
                <w:rFonts w:ascii="Times New Roman;Times;Serif" w:hAnsi="Times New Roman;Times;Serif"/>
                <w:b/>
                <w:i w:val="false"/>
                <w:caps w:val="false"/>
                <w:smallCaps w:val="false"/>
                <w:sz w:val="20"/>
              </w:rPr>
              <w:t>76177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offices, including zip code)</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2_edei--CityAreaCode_c20260813__20"/>
      <w:bookmarkEnd w:id="12"/>
      <w:r>
        <w:rPr>
          <w:rFonts w:ascii="Times New Roman;Times;Serif" w:hAnsi="Times New Roman;Times;Serif"/>
          <w:b/>
          <w:i w:val="false"/>
          <w:caps w:val="false"/>
          <w:smallCaps w:val="false"/>
          <w:sz w:val="20"/>
        </w:rPr>
        <w:t>682) </w:t>
      </w:r>
      <w:bookmarkStart w:id="13" w:name="xdx_90F_edei--LocalPhoneNumber_c20260813"/>
      <w:bookmarkEnd w:id="13"/>
      <w:r>
        <w:rPr>
          <w:rFonts w:ascii="Times New Roman;Times;Serif" w:hAnsi="Times New Roman;Times;Serif"/>
          <w:b/>
          <w:i w:val="false"/>
          <w:caps w:val="false"/>
          <w:smallCaps w:val="false"/>
          <w:sz w:val="20"/>
        </w:rPr>
        <w:t>428-2400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45"/>
        <w:gridCol w:w="738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7385"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45"/>
        <w:gridCol w:w="7415"/>
      </w:tblGrid>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7415" w:type="dxa"/>
            <w:tcBorders/>
            <w:vAlign w:val="center"/>
          </w:tcPr>
          <w:p>
            <w:pPr>
              <w:pStyle w:val="TableContents"/>
              <w:bidi w:val="0"/>
              <w:spacing w:before="0" w:after="283"/>
              <w:jc w:val="left"/>
              <w:rPr>
                <w:sz w:val="20"/>
              </w:rPr>
            </w:pPr>
            <w:r>
              <w:rPr>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45"/>
        <w:gridCol w:w="9155"/>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155" w:type="dxa"/>
            <w:tcBorders/>
            <w:vAlign w:val="center"/>
          </w:tcPr>
          <w:p>
            <w:pPr>
              <w:pStyle w:val="TableContents"/>
              <w:bidi w:val="0"/>
              <w:spacing w:before="0" w:after="283"/>
              <w:jc w:val="left"/>
              <w:rPr>
                <w:sz w:val="20"/>
              </w:rPr>
            </w:pPr>
            <w:r>
              <w:rPr>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95" w:type="dxa"/>
            <w:tcBorders/>
            <w:vAlign w:val="center"/>
          </w:tcPr>
          <w:p>
            <w:pPr>
              <w:pStyle w:val="TableContents"/>
              <w:bidi w:val="0"/>
              <w:spacing w:before="0" w:after="283"/>
              <w:jc w:val="left"/>
              <w:rPr>
                <w:sz w:val="20"/>
              </w:rPr>
            </w:pPr>
            <w:r>
              <w:rPr>
                <w:sz w:val="20"/>
              </w:rPr>
              <w:t>Pre-commencement communications pursuant to Rule 13e-4(c) under the Exchange Act (17 CFR 240.13e-4(c)).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tbl>
      <w:tblPr>
        <w:tblW w:w="8325" w:type="dxa"/>
        <w:jc w:val="left"/>
        <w:tblInd w:w="0" w:type="dxa"/>
        <w:tblLayout w:type="fixed"/>
        <w:tblCellMar>
          <w:top w:w="0" w:type="dxa"/>
          <w:left w:w="0" w:type="dxa"/>
          <w:bottom w:w="0" w:type="dxa"/>
          <w:right w:w="0" w:type="dxa"/>
        </w:tblCellMar>
      </w:tblPr>
      <w:tblGrid>
        <w:gridCol w:w="4460"/>
        <w:gridCol w:w="60"/>
        <w:gridCol w:w="860"/>
        <w:gridCol w:w="60"/>
        <w:gridCol w:w="288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446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vAlign w:val="center"/>
          </w:tcPr>
          <w:p>
            <w:pPr>
              <w:pStyle w:val="TableContents"/>
              <w:bidi w:val="0"/>
              <w:spacing w:before="0" w:after="283"/>
              <w:jc w:val="left"/>
              <w:rPr/>
            </w:pPr>
            <w:r>
              <w:rPr/>
              <w:t> </w:t>
            </w:r>
          </w:p>
        </w:tc>
        <w:tc>
          <w:tcPr>
            <w:tcW w:w="288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4460" w:type="dxa"/>
            <w:tcBorders/>
            <w:vAlign w:val="center"/>
          </w:tcPr>
          <w:p>
            <w:pPr>
              <w:pStyle w:val="TableContents"/>
              <w:bidi w:val="0"/>
              <w:spacing w:before="0" w:after="283"/>
              <w:jc w:val="center"/>
              <w:rPr>
                <w:b/>
                <w:sz w:val="20"/>
              </w:rPr>
            </w:pPr>
            <w:bookmarkStart w:id="18" w:name="xdx_904_edei--Security12bTitle_c20260813"/>
            <w:bookmarkEnd w:id="18"/>
            <w:r>
              <w:rPr>
                <w:b/>
                <w:sz w:val="20"/>
              </w:rPr>
              <w:t>Class A Common Stock, $0.0001 par value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b/>
                <w:sz w:val="20"/>
              </w:rPr>
            </w:pPr>
            <w:bookmarkStart w:id="19" w:name="xdx_900_edei--TradingSymbol_c20260813__2"/>
            <w:bookmarkEnd w:id="19"/>
            <w:r>
              <w:rPr>
                <w:b/>
                <w:sz w:val="20"/>
              </w:rPr>
              <w:t>YSWY</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sz w:val="20"/>
              </w:rPr>
            </w:pPr>
            <w:bookmarkStart w:id="20" w:name="xdx_90E_edei--SecurityExchangeName_c2026"/>
            <w:bookmarkEnd w:id="20"/>
            <w:r>
              <w:rPr>
                <w:b/>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Yesway, Inc. issued a press release announcing its financial results for the period ended June 30, 2026.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including the information contained in Exhibit 99.1 of this Current Report on Form 8-K, is furnished herewith and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both"/>
              <w:rPr>
                <w:sz w:val="20"/>
              </w:rPr>
            </w:pPr>
            <w:r>
              <w:rPr>
                <w:rFonts w:ascii="Times New Roman;Times;Serif" w:hAnsi="Times New Roman;Times;Serif"/>
                <w:sz w:val="20"/>
                <w:u w:val="single"/>
              </w:rPr>
              <w:t>Exhibits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995"/>
        <w:gridCol w:w="60"/>
        <w:gridCol w:w="897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897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9035" w:type="dxa"/>
            <w:gridSpan w:val="2"/>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both"/>
              <w:rPr/>
            </w:pPr>
            <w:hyperlink w:anchor="tm262299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8975" w:type="dxa"/>
            <w:tcBorders/>
            <w:tcMar>
              <w:bottom w:w="0" w:type="dxa"/>
            </w:tcMar>
            <w:vAlign w:val="center"/>
          </w:tcPr>
          <w:p>
            <w:pPr>
              <w:pStyle w:val="TableContents"/>
              <w:bidi w:val="0"/>
              <w:spacing w:before="0" w:after="283"/>
              <w:jc w:val="left"/>
              <w:rPr/>
            </w:pPr>
            <w:hyperlink w:anchor="tm2622997d1_ex99-1.htm">
              <w:r>
                <w:rPr>
                  <w:rStyle w:val="InternetLink"/>
                  <w:rFonts w:ascii="Times New Roman;Times;Serif" w:hAnsi="Times New Roman;Times;Serif"/>
                  <w:sz w:val="20"/>
                </w:rPr>
                <w:t>Press Release of Yesway, Inc. dated August 13, 2026</w:t>
              </w:r>
            </w:hyperlink>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897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both"/>
              <w:rPr/>
            </w:pPr>
            <w:r>
              <w:rPr/>
              <w:t> </w:t>
            </w:r>
          </w:p>
        </w:tc>
        <w:tc>
          <w:tcPr>
            <w:tcW w:w="89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2195"/>
        <w:gridCol w:w="320"/>
        <w:gridCol w:w="3035"/>
      </w:tblGrid>
      <w:tr>
        <w:trPr/>
        <w:tc>
          <w:tcPr>
            <w:tcW w:w="219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b/>
                <w:sz w:val="20"/>
              </w:rPr>
            </w:pPr>
            <w:r>
              <w:rPr>
                <w:b/>
                <w:sz w:val="20"/>
              </w:rPr>
              <w:t>YESWAY, INC.</w:t>
            </w:r>
          </w:p>
        </w:tc>
      </w:tr>
      <w:tr>
        <w:trPr/>
        <w:tc>
          <w:tcPr>
            <w:tcW w:w="21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13, 2026</w:t>
            </w:r>
          </w:p>
        </w:tc>
        <w:tc>
          <w:tcPr>
            <w:tcW w:w="320" w:type="dxa"/>
            <w:tcBorders/>
            <w:vAlign w:val="center"/>
          </w:tcPr>
          <w:p>
            <w:pPr>
              <w:pStyle w:val="TableContents"/>
              <w:bidi w:val="0"/>
              <w:spacing w:before="0" w:after="283"/>
              <w:jc w:val="left"/>
              <w:rPr>
                <w:sz w:val="20"/>
              </w:rPr>
            </w:pPr>
            <w:r>
              <w:rPr>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Ericka L. Ayles</w:t>
            </w:r>
          </w:p>
        </w:tc>
      </w:tr>
      <w:tr>
        <w:trPr/>
        <w:tc>
          <w:tcPr>
            <w:tcW w:w="21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Ericka L. Ayles</w:t>
            </w:r>
          </w:p>
        </w:tc>
      </w:tr>
      <w:tr>
        <w:trPr/>
        <w:tc>
          <w:tcPr>
            <w:tcW w:w="21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2997d1_ex99-1.htm"/>
      <w:bookmarkStart w:id="23" w:name="kstm2622997d1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8001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7620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Achieved record Store Contribution, driven by increases in fuel margin and inside merchandise margin from same-store sales and increases in fuel gallons and inside merchandise sales from new stores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Delivered same-store inside merchandise sales growth in 18 of the past 19 quarters and generated positive same-store fuel gallons growth in the second quarter of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Increased full year 2026 Adjusted EBITDA outlook, reflecting strong second quarter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 August 13, 2026 – Yesway, Inc. (“Yesway” or the “Company”) (Nasdaq: YSWY), one of the fastest-growing convenience store operators in the United States, today announced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increased to $29.7 million from $24.2 million in the prior-year period, and Adjusted EBITDA increased 35.0% year-over-year to $70.9 million.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Same-store inside merchandise sales increased 1.2% year-over-year. Excluding the 29 stores in our Iowa and Kansas portfolio, the sale of which is expected to close by year-end, same-store inside merchandise sales increased 1.5%. Total inside merchandise sales increased 4.4% year-over-year, with a total inside merchandise margin of 35.7%.</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Same-store fuel gallons sold increased 1.4% year-over-year. Excluding the 29 stores in our Iowa and Kansas portfolio, same-store fuel gallons sold increased 1.8%. Total fuel gallons sold increased 6.9% year-over-year, with a total fuel margin of 52.6 cents per gallon.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from operations increased to $47.7 million from $36.7 million in the prior-year period, and Store Contribution increased 29.5% year-over-year to $87.7 million.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quarter was a milestone in our company’s history, reflecting broad-based execution across both our fuel and inside merchandise businesses,” said Thomas N. Trkla, Chairman, President and Chief Executive Officer of Yesway. “We set new records across several key measures, including fuel gallons sold, fuel gross profit, inside merchandise sales, inside merchandise gross profit, and Store Contribution. This operating momentum drove Adjusted EBITDA growth of 35% year-over-year in the second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Trkla continued, “These results underscore the strength and breadth of our platform, the advantages of our differentiated market positioning, the resilience of our business model amid continued inflationary pressures and volatile fuel markets, and the disciplined execution of our team. Looking ahead, our strong operating performance and significant cash generation are increasing our financial flexibility to fund our organic growth initiatives and pursue acquisitions as compelling opportunities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8001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Results</w:t>
      </w:r>
      <w:r>
        <w:rPr>
          <w:rFonts w:ascii="Times New Roman;Times;Serif" w:hAnsi="Times New Roman;Times;Serif"/>
          <w:b/>
          <w:i w:val="false"/>
          <w:caps w:val="false"/>
          <w:smallCaps w:val="false"/>
          <w:position w:val="7"/>
          <w:sz w:val="16"/>
          <w:sz w:val="20"/>
        </w:rPr>
        <w:t xml:space="preserv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Same-Store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inside merchandise and fuel gross profit increased 14.0% year-over-year on a same-store basis, reflecting growth in both fuel and inside merchandise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gallons sold increased 1.4% year-over-year on a same-store basis, and same-store fuel gross profit increased 29.0%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merchandise sales increased 1.2% year-over-year on a same-store basis, and same-store inside merchandise gross profit increased 2.5% year-over-year.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3"/>
        <w:gridCol w:w="60"/>
        <w:gridCol w:w="66"/>
        <w:gridCol w:w="420"/>
        <w:gridCol w:w="237"/>
        <w:gridCol w:w="66"/>
        <w:gridCol w:w="68"/>
        <w:gridCol w:w="378"/>
        <w:gridCol w:w="230"/>
        <w:gridCol w:w="60"/>
        <w:gridCol w:w="66"/>
        <w:gridCol w:w="420"/>
        <w:gridCol w:w="237"/>
        <w:gridCol w:w="66"/>
        <w:gridCol w:w="68"/>
        <w:gridCol w:w="378"/>
        <w:gridCol w:w="252"/>
      </w:tblGrid>
      <w:tr>
        <w:trPr/>
        <w:tc>
          <w:tcPr>
            <w:tcW w:w="7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 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r>
          </w:p>
        </w:tc>
        <w:tc>
          <w:tcPr>
            <w:tcW w:w="2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Comparison by Category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gallons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less cost of goods sold (exclusive of depreciation and amortization)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2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w:t>
            </w:r>
          </w:p>
        </w:tc>
        <w:tc>
          <w:tcPr>
            <w:tcW w:w="2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merchandise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Inside merchandise sales less cost of goods sold (exclusive of depreciation and amortization)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2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inside merchandise and fuel sales less cost of goods sold (exclusive of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w:t>
            </w:r>
          </w:p>
        </w:tc>
        <w:tc>
          <w:tcPr>
            <w:tcW w:w="23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Fuel sales less cost of goods sold (exclusive of depreciation and amortization) for the Iowa and Kansas stores were $1.2 million and $2.3 million in the three and six months ended June 30, 2026, and $1.1 million and $2.0 million in the three and six months ended June 30, 2025, respectively.</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Inside merchandise sales less cost of goods sold for the Iowa and Kansas stores were $1.9 million and $3.4 million in the three and six months ended June 30, 2026, respectively, and $2.0 million and $3.6 million in the three and six months ended June 30,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Fuel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sales increased 52.7% year-over-year to $673.1 million, and fuel gross profit increased 36.2% year-over-year to $84.0 million, with fuel margin increasing 27.4% year-over-year to 52.6 cents per gallon.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3"/>
        <w:gridCol w:w="60"/>
        <w:gridCol w:w="125"/>
        <w:gridCol w:w="695"/>
        <w:gridCol w:w="215"/>
        <w:gridCol w:w="60"/>
        <w:gridCol w:w="125"/>
        <w:gridCol w:w="695"/>
        <w:gridCol w:w="238"/>
        <w:gridCol w:w="60"/>
        <w:gridCol w:w="125"/>
        <w:gridCol w:w="695"/>
        <w:gridCol w:w="215"/>
        <w:gridCol w:w="60"/>
        <w:gridCol w:w="125"/>
        <w:gridCol w:w="695"/>
        <w:gridCol w:w="254"/>
      </w:tblGrid>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 June 30,</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r>
          </w:p>
        </w:tc>
        <w:tc>
          <w:tcPr>
            <w:tcW w:w="2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Fuel ($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gallons sold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159,546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149,230</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304,621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283,611</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Same-store gallons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sales less cost of goods sold (exclusive of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83,986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61,675</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155,594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109,872</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Margin (cents per gallon)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Results for the periods include 29 stores in Iowa and Kansas, which the Company expects to sell by the end of 2026. Fuel sales less cost of goods sold (exclusive of depreciation and amortization) for the Iowa and Kansas stores were $1.2 million and $1.1 million in the three months ended June 30, 2026, and 2025, respectively. Inside merchandise sales less cost of goods sold for the Iowa and Kansas stores were $1.9 million and $2.0 million in the three months ended June 30, 2026, and 2025, respectively.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"Presentation of Financial Information" below.</w:t>
      </w:r>
    </w:p>
    <w:p>
      <w:pPr>
        <w:pStyle w:val="TextBody"/>
        <w:bidi w:val="0"/>
        <w:spacing w:before="0" w:after="283"/>
        <w:jc w:val="left"/>
        <w:rPr/>
      </w:pPr>
      <w:r>
        <w:rPr/>
        <w:t> </w:t>
      </w:r>
    </w:p>
    <w:p>
      <w:pPr>
        <w:pStyle w:val="TextBody"/>
        <w:bidi w:val="0"/>
        <w:spacing w:before="0" w:after="0"/>
        <w:ind w:left="0" w:right="0" w:hanging="0"/>
        <w:jc w:val="left"/>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800100"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0100" cy="7620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Inside Merchandise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merchandise sales increased 4.4% year-over-year to $240.1 million, and inside merchandise gross profit increased 5.8% year-over-year to $85.8 million, with inside merchandise margin increasing 50 basis points to 35.7%.</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70"/>
        <w:gridCol w:w="60"/>
        <w:gridCol w:w="125"/>
        <w:gridCol w:w="695"/>
        <w:gridCol w:w="215"/>
        <w:gridCol w:w="60"/>
        <w:gridCol w:w="125"/>
        <w:gridCol w:w="695"/>
        <w:gridCol w:w="185"/>
        <w:gridCol w:w="60"/>
        <w:gridCol w:w="125"/>
        <w:gridCol w:w="695"/>
        <w:gridCol w:w="215"/>
        <w:gridCol w:w="60"/>
        <w:gridCol w:w="125"/>
        <w:gridCol w:w="695"/>
        <w:gridCol w:w="20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 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 Merchandise ($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inside merchandise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240,104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453,781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425,182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Same-store inside merchandise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merchandise sales less cost of goods sold (exclusive of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85,785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81,056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162,943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147,688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merchandise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35.0% year-over-year to $70.9 million, primarily attributable to the increase in fuel margin and inside merchandise margin from same-store sales and increases in fuel gallons and inside merchandise sales from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net income to Adjusted EBITDA, a non-GAAP financial measure, is provided in the tables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Store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Contribution increased 29.5% year-over-year to $87.7 million, primarily attributable to the increase in fuel margin and inside merchandise margin from same-store sales and increases in fuel gallons and inside merchandise sales from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income from operations to Store Contribution, a non-GAAP financial measure, is provided in the tables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Store 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operated 450 stores under the Yesway and Allsup’s brands. The following table represents the roll forward of store count through the second quarter of fiscal 2026.</w:t>
      </w:r>
    </w:p>
    <w:p>
      <w:pPr>
        <w:pStyle w:val="TextBody"/>
        <w:bidi w:val="0"/>
        <w:spacing w:before="0" w:after="0"/>
        <w:ind w:left="0" w:right="0" w:hanging="0"/>
        <w:jc w:val="both"/>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2240"/>
        <w:gridCol w:w="60"/>
        <w:gridCol w:w="1775"/>
        <w:gridCol w:w="60"/>
        <w:gridCol w:w="150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 2026</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Stores,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Stores,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800100" cy="76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Balance Sheet, Cash Flow and Liquidity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$81.6 million and total debt, including financing obligations and finance lease obligations, of $618.4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$56.6 million for the three months ended June 30, 2026, compared to $35.7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totaled $24.2 million for the three months ended June 30, 2026, compared to $21.8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2026 Outlook</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Yesway has increased its outlook for full year 2026 Adjusted EBITDA to $235 million to $245 million from $210 million to $220 million previously. The Company’s updated Adjusted EBITDA outlook reflects strong second quarter performance and assumes that fuel margin moderates in low-40-cent-per-gallon range for the second half of the year, consistent with the Company’s historical average.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reaffirmed its outlook for the following metrics as detailed below:</w:t>
      </w:r>
    </w:p>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3665"/>
        <w:gridCol w:w="60"/>
        <w:gridCol w:w="2105"/>
      </w:tblGrid>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Same-store Inside Merchandise Sales Growth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- 3.25%</w:t>
            </w:r>
          </w:p>
        </w:tc>
      </w:tr>
      <w:tr>
        <w:trPr/>
        <w:tc>
          <w:tcPr>
            <w:tcW w:w="36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million - $95 million</w:t>
            </w:r>
          </w:p>
        </w:tc>
      </w:tr>
      <w:tr>
        <w:trPr/>
        <w:tc>
          <w:tcPr>
            <w:tcW w:w="36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Store Openings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6 - 8 new stores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Assumes the sale of the 29 stores in the Company’s Iowa and Kansas portfolio will close by the end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Yesway will hold a conference call and webcast to discuss its second quarter 2026 financial results today, Thursday, August 13, 2026, at 8:30 AM 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will be available on the Investor Relations section of the Company’s </w:t>
      </w:r>
      <w:r>
        <w:rPr>
          <w:rFonts w:ascii="Times New Roman;Times;Serif" w:hAnsi="Times New Roman;Times;Serif"/>
          <w:b w:val="false"/>
          <w:i w:val="false"/>
          <w:caps w:val="false"/>
          <w:smallCaps w:val="false"/>
          <w:sz w:val="20"/>
          <w:u w:val="single"/>
        </w:rPr>
        <w:t>website</w:t>
      </w:r>
      <w:r>
        <w:rPr>
          <w:rFonts w:ascii="Times New Roman;Times;Serif" w:hAnsi="Times New Roman;Times;Serif"/>
          <w:b w:val="false"/>
          <w:i w:val="false"/>
          <w:caps w:val="false"/>
          <w:smallCaps w:val="false"/>
          <w:sz w:val="20"/>
        </w:rPr>
        <w:t xml:space="preserve"> or by clicking on the webcast link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An online archive of the webcast will be available on the Company’s website for one year following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Yesway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2015 and headquartered in Fort Worth, TX, Yesway is an award-winning convenience store operator with approximately 450 stores across nine states in the Midwest and Southwest. Yesway is renowned for its iconic foodservice offerings, diverse grocery selections, and private-label products, including the famous Allsup's deep-fried burrito. Through strategic acquisitions, the development and opening of more than 90 stores over the past several years, and a steadfast commitment to customer satisfaction and community engagement, Yesway continues to cement its position as one of the leading convenience retailers in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800100" cy="76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non-GAAP financial measures, such as Adjusted EBITDA and Store Contribution, to supplement financial information presented in accordance with GAAP. We believe that excluding certain items from our GAAP results allows management to better understand our consolidated financial performance, in the case of Adjusted EBITDA, and the direct performance of our stores, in the case of Store Contribution,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performance and enabling them to make more meaningful period to period comparisons. There are limitations to the use of the non-GAAP financial measures presented herein. For example, our non-GAAP financial measures may not be comparable to similarly titled measures of other companies. Additionally, Store Contribution excludes costs that we incur on an enterprise level that while essential in supporting our store operations, are not directly related to store operations, and that we believe result in efficiencies of scale and confer other benefits across our business. Other companies, including companies in our industry, may calculate non-GAAP financial measures differently than we do, limiting the usefulness of those measures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guidance contained in this press release of Adjusted EBITDA to the most directly comparable GAAP financial measure cannot be provided without unreasonable efforts and is not provided herein because of the inherent difficulty in forecasting and quantifying certain amounts that are necessary for such reconciliations, including but not limited to, uncertainty related to the timing, amount, and structure of stock-based compensation awards, as well as potential forfeitures of such awards, all of which could materially impact the Company’s estimates of forward-looking GAAP net income. These items are inherently difficult to predict, subject to significant variability, and dependent on factors that may be outside of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“Definitions” for additional information about our non-GAAP financial measures and “Non-GAAP Reconciling Information” for a reconciliation for each non-GAAP financial measure to the most directly comparable 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define the same-store base for a given period as all owned or leased stores that were open for the entirety of that period in both the current and prior years. This measure highlights the performance of existing stores, while excluding the impact of new store openings and closures as well as acquisitions and divestitures.</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define gross profit as sales less cost of goods sold (exclusive of depreciation and amortization).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Store Contribution represents, as applicable for the period, income (loss) from operations before depreciation, amortization and accretion, loss (gain) on disposal of assets, long-lived asset impairment, acquisition financing, integration, and stock-based compensation expense, and overhead expenses directly attributed to support staff and corporate offices that, while essential in supporting our store operations, are not directly related to store operations.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represents, as applicable for the period, net income (loss) before change in fair value of derivative liability, interest expense, income tax expense, depreciation, amortization, and accretion, and further adjusted by excluding the loss (gain) on disposal of assets, long-lived asset impairment, acquisition, financing, and integration costs, and stock-based compensation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of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Yesway’s initial public offering in April 2026, Yesway now consolidates the results of BW Ultimate Parent, LLC, for financial reporting purposes. All of Yesway’s business operations are currently, and have historically been, conducted through BW Ultimate Parent, LLC and its subsidiaries. Periods prior to Yesway’s initial public offering reflect the results of BW Ultimate Parent,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800100" cy="762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information in this press release contains forward-looking statements that involve substantial risks and uncertainties.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the expected timing of the sale of our Iowa and Kansas stores, 2026 guidance, including with respect to same-store sales growth, Adjusted EBITDA, capital expenditures and new store openings, expected growth and future capital expenditures, are forward-looking statements. In some cases, you can identify forward-looking statements by terms, such as “may,” “will,” “would,”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or will be important factors that could cause actual results to differ materially from those indicated in these forward-looking statements, including, but not limited to, the following: volatility in the global prices and availability of oil and petroleum products and general economic conditions, including interest rates; our ability to maintain an adequate pipeline of suitable locations for new stores; our ability to successfully implement our rapid growth strategy; risks associated with new store development; our ability to successfully recruit, hire, and retain qualified personnel; our dependence upon market acceptance by consumers and our failure to offer products that meet our existing customers’ taste and attract new customers; changes to wage regulations and other employment and labor laws; changes in demand for fuel-based modes of transportation and advancements in technologies, such as hybrid and electric vehicles, that significantly reduce fuel consumption related to the public’s current general approach with regard to climate change and the effects of greenhouse gas emissions, among others; our dependence on a limited number of suppliers for the majority of our gross fuel purchases and merchandise; operational hazards and risks normally associated with marketing of petroleum products; hazards and risks relating to the physical effects of weather and climate change; changes to tobacco legislation, potential court rulings affecting the tobacco industry, campaigns to discourage smoking, increases in tobacco and nicotine products taxes and wholesale cost increases of tobacco and nicotine products; the significant influence that Brookwood Financial Partners, LLC continues to have over us, including control over decisions that require the approval of stockholders; and the other important factors discussed under “Risk Factors” in our final prospectus dated April 21, 2026, as filed with the SEC on April 23, 2026 pursuant to Rule 424(b) under the Securities Act of 1933 (the “Prospectus”) and in our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construed as exhaustive and should be read together with the other cautionary statements included in this press release.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Contact: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IR@yesway.com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Erin Vadala</w:t>
        <w:br/>
      </w:r>
      <w:r>
        <w:rPr>
          <w:rFonts w:ascii="Times New Roman;Times;Serif" w:hAnsi="Times New Roman;Times;Serif"/>
          <w:b w:val="false"/>
          <w:i w:val="false"/>
          <w:caps w:val="false"/>
          <w:smallCaps w:val="false"/>
          <w:sz w:val="20"/>
          <w:u w:val="single"/>
        </w:rPr>
        <w:t>evadala@boltpr.com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800100" cy="762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 (Unaudited)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 except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35"/>
        <w:gridCol w:w="60"/>
        <w:gridCol w:w="125"/>
        <w:gridCol w:w="950"/>
        <w:gridCol w:w="60"/>
        <w:gridCol w:w="60"/>
        <w:gridCol w:w="125"/>
        <w:gridCol w:w="695"/>
        <w:gridCol w:w="80"/>
        <w:gridCol w:w="60"/>
        <w:gridCol w:w="125"/>
        <w:gridCol w:w="845"/>
        <w:gridCol w:w="60"/>
        <w:gridCol w:w="60"/>
        <w:gridCol w:w="125"/>
        <w:gridCol w:w="845"/>
        <w:gridCol w:w="95"/>
      </w:tblGrid>
      <w:tr>
        <w:trPr/>
        <w:tc>
          <w:tcPr>
            <w:tcW w:w="5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920,774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1,604,404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1,277,991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(exclusive of depreciation and amortization, shown separately below) (a)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743,473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1,272,688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1,008,622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employee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55,617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105,329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103,169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and accretion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873,030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1,514,216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Yesway, Inc. and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Includes excise taxes of approximately: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125,283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April 23, 2026, to June 30,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 of Class A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shares of Class A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31,063,822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31,236,787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800100" cy="762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5"/>
        <w:gridCol w:w="60"/>
        <w:gridCol w:w="153"/>
        <w:gridCol w:w="1037"/>
        <w:gridCol w:w="60"/>
        <w:gridCol w:w="60"/>
        <w:gridCol w:w="205"/>
        <w:gridCol w:w="1390"/>
        <w:gridCol w:w="75"/>
      </w:tblGrid>
      <w:tr>
        <w:trPr/>
        <w:tc>
          <w:tcPr>
            <w:tcW w:w="7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 of $138 and $147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89,380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277,996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277,996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2,066,463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1,949,174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senior preferred membership interests, and stockholders'/members’ equity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financing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maturities of finance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affiliates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97,845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156,927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net of current maturities, debt discount, and 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obligations, net of current maturities, debt discount, and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221,819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maturities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316,451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net of current maturities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receivable agreement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92,263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1,211,748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1,126,377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senior preferred membership interests (0 and 150,000 shares authorized and outstanding, redemption value of $0 and $239,628 and liquidation preference amount of $0 and $239,628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Stockholders'/members' equity</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$0.0001 par value, 500,000,000 shares authorized, 31,185,561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$0.0001 par value, 150,000,000 shares authorized, 32,009,185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387,226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attributable to  Yesway, Inc./members'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393,806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460,909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stockholders'/members’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854,715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senior preferred membership interests, stockholders' equity/members’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2,066,463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800100" cy="762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8665" w:type="dxa"/>
        <w:jc w:val="left"/>
        <w:tblInd w:w="0" w:type="dxa"/>
        <w:tblLayout w:type="fixed"/>
        <w:tblCellMar>
          <w:top w:w="0" w:type="dxa"/>
          <w:left w:w="0" w:type="dxa"/>
          <w:bottom w:w="28" w:type="dxa"/>
          <w:right w:w="0" w:type="dxa"/>
        </w:tblCellMar>
      </w:tblPr>
      <w:tblGrid>
        <w:gridCol w:w="6635"/>
        <w:gridCol w:w="60"/>
        <w:gridCol w:w="125"/>
        <w:gridCol w:w="815"/>
        <w:gridCol w:w="60"/>
        <w:gridCol w:w="60"/>
        <w:gridCol w:w="125"/>
        <w:gridCol w:w="710"/>
        <w:gridCol w:w="75"/>
      </w:tblGrid>
      <w:tr>
        <w:trPr/>
        <w:tc>
          <w:tcPr>
            <w:tcW w:w="6635" w:type="dxa"/>
            <w:tcBorders>
              <w:bottom w:val="single" w:sz="8" w:space="0" w:color="000000"/>
            </w:tcBorders>
            <w:vAlign w:val="center"/>
          </w:tcPr>
          <w:p>
            <w:pPr>
              <w:pStyle w:val="TableContents"/>
              <w:bidi w:val="0"/>
              <w:spacing w:before="0" w:after="283"/>
              <w:jc w:val="left"/>
              <w:rPr/>
            </w:pPr>
            <w:r>
              <w:rPr>
                <w:b/>
              </w:rPr>
              <w:t>Six months ended June 30, </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income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59,890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18,523</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amortization, accretion expense</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32,609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31,208</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deferred financing cost</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2,196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2,063</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for credit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(gain) on disposal of assets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 net</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 - BTS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 -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payable - Fuel</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24,649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(1,541)</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payable -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(3,603)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3,534</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liabilities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to/(from) affiliates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104,925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49,232</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(48,149)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of intangible assets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(1,354)</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(2,593)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revolver</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revolver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borrowings from term loan</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(2,050)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(2,050)</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debt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financing obligation</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2,489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2,868</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financing obligation with lessors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financing leases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issuance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301,070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IPO issuance costs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(7,338)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to redeemable senior preferred membership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(252,266)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to members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(23,510)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(6,191)</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(22,791)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(7,591)</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Increase (decrease) in cash and cash equivalents</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45,016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(4,104)</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36,592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32,720</w:t>
            </w:r>
          </w:p>
        </w:tc>
        <w:tc>
          <w:tcPr>
            <w:tcW w:w="75"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15" w:type="dxa"/>
            <w:tcBorders>
              <w:bottom w:val="double" w:sz="6"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81,608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28,616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800100" cy="762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01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Reconciling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a reconciliation of net income to Adjusted EBITDA for the three and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to Adjusted EBITDA</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millions)</w:t>
      </w:r>
    </w:p>
    <w:p>
      <w:pPr>
        <w:pStyle w:val="TextBody"/>
        <w:bidi w:val="0"/>
        <w:spacing w:before="0" w:after="0"/>
        <w:ind w:left="0" w:right="0" w:hanging="0"/>
        <w:jc w:val="center"/>
        <w:rPr>
          <w:caps w:val="false"/>
          <w:smallCaps w:val="false"/>
        </w:rPr>
      </w:pPr>
      <w:r>
        <w:rPr>
          <w:caps w:val="false"/>
          <w:smallCaps w:val="false"/>
        </w:rPr>
        <w:t> </w:t>
      </w:r>
    </w:p>
    <w:tbl>
      <w:tblPr>
        <w:tblW w:w="7200" w:type="dxa"/>
        <w:jc w:val="left"/>
        <w:tblInd w:w="0" w:type="dxa"/>
        <w:tblLayout w:type="fixed"/>
        <w:tblCellMar>
          <w:top w:w="0" w:type="dxa"/>
          <w:left w:w="0" w:type="dxa"/>
          <w:bottom w:w="0" w:type="dxa"/>
          <w:right w:w="0" w:type="dxa"/>
        </w:tblCellMar>
      </w:tblPr>
      <w:tblGrid>
        <w:gridCol w:w="3650"/>
        <w:gridCol w:w="60"/>
        <w:gridCol w:w="198"/>
        <w:gridCol w:w="601"/>
        <w:gridCol w:w="95"/>
        <w:gridCol w:w="95"/>
        <w:gridCol w:w="198"/>
        <w:gridCol w:w="601"/>
        <w:gridCol w:w="80"/>
        <w:gridCol w:w="60"/>
        <w:gridCol w:w="147"/>
        <w:gridCol w:w="570"/>
        <w:gridCol w:w="70"/>
        <w:gridCol w:w="70"/>
        <w:gridCol w:w="147"/>
        <w:gridCol w:w="447"/>
        <w:gridCol w:w="111"/>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2"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2" w:type="dxa"/>
            <w:gridSpan w:val="7"/>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56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59.9</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financing,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80.2</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a reconciliation of income from operations to Store Contribution for the three and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Yesway,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Income from Operations to Store Contribution</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millions)</w:t>
      </w:r>
    </w:p>
    <w:p>
      <w:pPr>
        <w:pStyle w:val="TextBody"/>
        <w:bidi w:val="0"/>
        <w:spacing w:before="0" w:after="0"/>
        <w:ind w:left="0" w:right="0" w:hanging="0"/>
        <w:jc w:val="center"/>
        <w:rPr>
          <w:caps w:val="false"/>
          <w:smallCaps w:val="false"/>
        </w:rPr>
      </w:pPr>
      <w:r>
        <w:rPr>
          <w:caps w:val="false"/>
          <w:smallCaps w:val="false"/>
        </w:rPr>
        <w:t> </w:t>
      </w:r>
    </w:p>
    <w:tbl>
      <w:tblPr>
        <w:tblW w:w="7281" w:type="dxa"/>
        <w:jc w:val="left"/>
        <w:tblInd w:w="0" w:type="dxa"/>
        <w:tblLayout w:type="fixed"/>
        <w:tblCellMar>
          <w:top w:w="0" w:type="dxa"/>
          <w:left w:w="0" w:type="dxa"/>
          <w:bottom w:w="0" w:type="dxa"/>
          <w:right w:w="0" w:type="dxa"/>
        </w:tblCellMar>
      </w:tblPr>
      <w:tblGrid>
        <w:gridCol w:w="3650"/>
        <w:gridCol w:w="60"/>
        <w:gridCol w:w="198"/>
        <w:gridCol w:w="601"/>
        <w:gridCol w:w="95"/>
        <w:gridCol w:w="95"/>
        <w:gridCol w:w="198"/>
        <w:gridCol w:w="601"/>
        <w:gridCol w:w="80"/>
        <w:gridCol w:w="60"/>
        <w:gridCol w:w="144"/>
        <w:gridCol w:w="561"/>
        <w:gridCol w:w="69"/>
        <w:gridCol w:w="69"/>
        <w:gridCol w:w="144"/>
        <w:gridCol w:w="561"/>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software and hardware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supplies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travel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financing,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overhead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Store Contribution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162.3</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20"/>
              </w:rPr>
            </w:pPr>
            <w:r>
              <w:rPr>
                <w:sz w:val="20"/>
              </w:rPr>
              <w:t>(1)</w:t>
            </w:r>
          </w:p>
        </w:tc>
        <w:tc>
          <w:tcPr>
            <w:tcW w:w="9958" w:type="dxa"/>
            <w:tcBorders/>
            <w:vAlign w:val="center"/>
          </w:tcPr>
          <w:p>
            <w:pPr>
              <w:pStyle w:val="TableContents"/>
              <w:bidi w:val="0"/>
              <w:spacing w:before="0" w:after="283"/>
              <w:jc w:val="both"/>
              <w:rPr>
                <w:sz w:val="20"/>
              </w:rPr>
            </w:pPr>
            <w:r>
              <w:rPr>
                <w:sz w:val="20"/>
              </w:rPr>
              <w:t>Store Contribution generated by the 29 stores in Iowa and Kansas was $0.5 million and $0.6 million in the three months ended June 30, 2026, and June 30, 2025, respectively, and $0.6 million in each of the six months ended June 30, 2026, and June 30, 2025,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10 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4611</Words>
  <Characters>26198</Characters>
  <CharactersWithSpaces>31816</CharactersWithSpaces>
  <Paragraphs>2735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