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2184-15_4seq1.xml.htm"/>
      <w:bookmarkStart w:id="1" w:name="kstm261218415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Lewis Ronald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YESWAY,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2301 EAGLE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Yesway,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YSWY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(the "RSUs"), each of which represents a contingent right to receive one share of the Issuer's Class A Common Stock. The RSUs will vest in equal installments on each of the first three anniversaries of the date of effectiveness of the Registration Statement.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N. Trkla, Attorney-in-fact for Ronald C. Lewis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497" TargetMode="External"/><Relationship Id="rId5" Type="http://schemas.openxmlformats.org/officeDocument/2006/relationships/hyperlink" Target="http://www.sec.gov/cgi-bin/browse-edgar?action=getcompany&amp;CIK=00018598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617</Words>
  <Characters>3312</Characters>
  <CharactersWithSpaces>3870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