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Yesway,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001-43243</w:t>
            </w:r>
          </w:p>
        </w:tc>
        <w:tc>
          <w:tcPr>
            <w:tcW w:w="16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86-3446060</w:t>
            </w:r>
          </w:p>
        </w:tc>
      </w:tr>
      <w:tr>
        <w:trPr>
          <w:trHeight w:val="220"/>
        </w:trPr>
        <w:tc>
          <w:tcPr>
            <w:tcW w:w="20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(Commission</w:t>
            </w: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IRS Employer</w:t>
            </w:r>
          </w:p>
        </w:tc>
      </w:tr>
      <w:tr>
        <w:trPr>
          <w:trHeight w:val="234"/>
        </w:trPr>
        <w:tc>
          <w:tcPr>
            <w:tcW w:w="20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File Number)</w:t>
            </w: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060" w:type="dxa"/>
            <w:vAlign w:val="bottom"/>
          </w:tcPr>
          <w:p>
            <w:pPr>
              <w:spacing w:after="0"/>
              <w:rPr>
                <w:sz w:val="24"/>
                <w:szCs w:val="24"/>
                <w:color w:val="auto"/>
              </w:rPr>
            </w:pPr>
          </w:p>
        </w:tc>
        <w:tc>
          <w:tcPr>
            <w:tcW w:w="55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2301 Eagle Parkway</w:t>
            </w:r>
          </w:p>
        </w:tc>
        <w:tc>
          <w:tcPr>
            <w:tcW w:w="1640" w:type="dxa"/>
            <w:vAlign w:val="bottom"/>
          </w:tcPr>
          <w:p>
            <w:pPr>
              <w:spacing w:after="0"/>
              <w:rPr>
                <w:sz w:val="24"/>
                <w:szCs w:val="24"/>
                <w:color w:val="auto"/>
              </w:rPr>
            </w:pPr>
          </w:p>
        </w:tc>
      </w:tr>
      <w:tr>
        <w:trPr>
          <w:trHeight w:val="220"/>
        </w:trPr>
        <w:tc>
          <w:tcPr>
            <w:tcW w:w="2060" w:type="dxa"/>
            <w:vAlign w:val="bottom"/>
          </w:tcPr>
          <w:p>
            <w:pPr>
              <w:spacing w:after="0"/>
              <w:rPr>
                <w:sz w:val="19"/>
                <w:szCs w:val="19"/>
                <w:color w:val="auto"/>
              </w:rPr>
            </w:pPr>
          </w:p>
        </w:tc>
        <w:tc>
          <w:tcPr>
            <w:tcW w:w="5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Fort Worth, TX 76177</w:t>
            </w:r>
          </w:p>
        </w:tc>
        <w:tc>
          <w:tcPr>
            <w:tcW w:w="1640" w:type="dxa"/>
            <w:vAlign w:val="bottom"/>
          </w:tcPr>
          <w:p>
            <w:pPr>
              <w:spacing w:after="0"/>
              <w:rPr>
                <w:sz w:val="19"/>
                <w:szCs w:val="19"/>
                <w:color w:val="auto"/>
              </w:rPr>
            </w:pPr>
          </w:p>
        </w:tc>
      </w:tr>
      <w:tr>
        <w:trPr>
          <w:trHeight w:val="234"/>
        </w:trPr>
        <w:tc>
          <w:tcPr>
            <w:tcW w:w="2060" w:type="dxa"/>
            <w:vAlign w:val="bottom"/>
          </w:tcPr>
          <w:p>
            <w:pPr>
              <w:spacing w:after="0"/>
              <w:rPr>
                <w:sz w:val="20"/>
                <w:szCs w:val="20"/>
                <w:color w:val="auto"/>
              </w:rPr>
            </w:pPr>
          </w:p>
        </w:tc>
        <w:tc>
          <w:tcPr>
            <w:tcW w:w="55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(Address of registrant’s principal executive offices, including zip code)</w:t>
            </w:r>
          </w:p>
        </w:tc>
        <w:tc>
          <w:tcPr>
            <w:tcW w:w="1640" w:type="dxa"/>
            <w:vAlign w:val="bottom"/>
          </w:tcPr>
          <w:p>
            <w:pPr>
              <w:spacing w:after="0"/>
              <w:rPr>
                <w:sz w:val="20"/>
                <w:szCs w:val="20"/>
                <w:color w:val="auto"/>
              </w:rPr>
            </w:pPr>
          </w:p>
        </w:tc>
      </w:tr>
      <w:tr>
        <w:trPr>
          <w:trHeight w:val="414"/>
        </w:trPr>
        <w:tc>
          <w:tcPr>
            <w:tcW w:w="2060" w:type="dxa"/>
            <w:vAlign w:val="bottom"/>
          </w:tcPr>
          <w:p>
            <w:pPr>
              <w:spacing w:after="0"/>
              <w:rPr>
                <w:sz w:val="24"/>
                <w:szCs w:val="24"/>
                <w:color w:val="auto"/>
              </w:rPr>
            </w:pPr>
          </w:p>
        </w:tc>
        <w:tc>
          <w:tcPr>
            <w:tcW w:w="55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(682)428-2400</w:t>
            </w:r>
          </w:p>
        </w:tc>
        <w:tc>
          <w:tcPr>
            <w:tcW w:w="1640" w:type="dxa"/>
            <w:vAlign w:val="bottom"/>
          </w:tcPr>
          <w:p>
            <w:pPr>
              <w:spacing w:after="0"/>
              <w:rPr>
                <w:sz w:val="24"/>
                <w:szCs w:val="24"/>
                <w:color w:val="auto"/>
              </w:rPr>
            </w:pPr>
          </w:p>
        </w:tc>
      </w:tr>
      <w:tr>
        <w:trPr>
          <w:trHeight w:val="234"/>
        </w:trPr>
        <w:tc>
          <w:tcPr>
            <w:tcW w:w="2060" w:type="dxa"/>
            <w:vAlign w:val="bottom"/>
          </w:tcPr>
          <w:p>
            <w:pPr>
              <w:spacing w:after="0"/>
              <w:rPr>
                <w:sz w:val="20"/>
                <w:szCs w:val="20"/>
                <w:color w:val="auto"/>
              </w:rPr>
            </w:pPr>
          </w:p>
        </w:tc>
        <w:tc>
          <w:tcPr>
            <w:tcW w:w="55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38"/>
        </w:trPr>
        <w:tc>
          <w:tcPr>
            <w:tcW w:w="3840" w:type="dxa"/>
            <w:vAlign w:val="bottom"/>
            <w:gridSpan w:val="2"/>
            <w:vMerge w:val="continue"/>
          </w:tcPr>
          <w:p>
            <w:pPr>
              <w:spacing w:after="0"/>
              <w:rPr>
                <w:sz w:val="20"/>
                <w:szCs w:val="20"/>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187"/>
        </w:trPr>
        <w:tc>
          <w:tcPr>
            <w:tcW w:w="36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Class A Common Stock, $0.0001 par value per</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YSWY</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c>
          <w:tcPr>
            <w:tcW w:w="0" w:type="dxa"/>
            <w:vAlign w:val="bottom"/>
          </w:tcPr>
          <w:p>
            <w:pPr>
              <w:spacing w:after="0"/>
              <w:rPr>
                <w:sz w:val="1"/>
                <w:szCs w:val="1"/>
                <w:color w:val="auto"/>
              </w:rPr>
            </w:pP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 2026, Yesway, Inc. issued a press release announcing its financial results for the three months ended March 31, 2026. A copy of the press release is furnished as Exhibit 99.1 to this Current Report on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the information contained in Exhibit 99.1 of this Current Report on Form 8-K, is furnished herewith and shall not be deemed “filed” for purposes of Section 18 of the Securities Exchange Act of 1934, as amended (the “Exchange Act”), or otherwise subject to the liabilities under that section, nor shall it be deemed incorporated by reference in any filing under the Securities Act of 1933, as amended, or the Exchange Act, regardless of any general incorporation language in such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92"/>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w:t>
            </w:r>
          </w:p>
        </w:tc>
        <w:tc>
          <w:tcPr>
            <w:tcW w:w="780" w:type="dxa"/>
            <w:vAlign w:val="bottom"/>
          </w:tcPr>
          <w:p>
            <w:pPr>
              <w:spacing w:after="0"/>
              <w:rPr>
                <w:sz w:val="24"/>
                <w:szCs w:val="24"/>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Exhibits.</w:t>
            </w:r>
          </w:p>
        </w:tc>
      </w:tr>
      <w:tr>
        <w:trPr>
          <w:trHeight w:val="20"/>
        </w:trPr>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53"/>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24"/>
                <w:szCs w:val="24"/>
                <w:color w:val="auto"/>
              </w:rPr>
            </w:pPr>
          </w:p>
        </w:tc>
        <w:tc>
          <w:tcPr>
            <w:tcW w:w="100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EE"/>
              </w:rPr>
              <w:t>Press Release of Yesway, Inc. dated June 2, 2026</w:t>
            </w:r>
          </w:p>
        </w:tc>
      </w:tr>
      <w:tr>
        <w:trPr>
          <w:trHeight w:val="20"/>
        </w:trPr>
        <w:tc>
          <w:tcPr>
            <w:tcW w:w="3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YESWAY,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Ericka L. Ayles</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Ericka L. Ayles</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675"/>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942975" cy="942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Yesway, Inc. Reports First Quarter 2026 Financial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Achieved </w:t>
      </w:r>
      <w:r>
        <w:rPr>
          <w:rFonts w:ascii="Times New Roman" w:cs="Times New Roman" w:eastAsia="Times New Roman" w:hAnsi="Times New Roman"/>
          <w:sz w:val="18"/>
          <w:szCs w:val="18"/>
          <w:b w:val="1"/>
          <w:bCs w:val="1"/>
          <w:i w:val="1"/>
          <w:iCs w:val="1"/>
          <w:color w:val="auto"/>
        </w:rPr>
        <w:t>record first quarter results</w:t>
      </w:r>
      <w:r>
        <w:rPr>
          <w:rFonts w:ascii="Times New Roman" w:cs="Times New Roman" w:eastAsia="Times New Roman" w:hAnsi="Times New Roman"/>
          <w:sz w:val="18"/>
          <w:szCs w:val="18"/>
          <w:i w:val="1"/>
          <w:iCs w:val="1"/>
          <w:color w:val="auto"/>
        </w:rPr>
        <w:t>, underscoring the continued strength of Yesway’s operating platform and consistent execution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Delivered </w:t>
      </w:r>
      <w:r>
        <w:rPr>
          <w:rFonts w:ascii="Times New Roman" w:cs="Times New Roman" w:eastAsia="Times New Roman" w:hAnsi="Times New Roman"/>
          <w:sz w:val="18"/>
          <w:szCs w:val="18"/>
          <w:b w:val="1"/>
          <w:bCs w:val="1"/>
          <w:i w:val="1"/>
          <w:iCs w:val="1"/>
          <w:color w:val="auto"/>
        </w:rPr>
        <w:t>same-store inside sales growth in 12 of the past 13 quarters</w:t>
      </w:r>
      <w:r>
        <w:rPr>
          <w:rFonts w:ascii="Times New Roman" w:cs="Times New Roman" w:eastAsia="Times New Roman" w:hAnsi="Times New Roman"/>
          <w:sz w:val="18"/>
          <w:szCs w:val="18"/>
          <w:i w:val="1"/>
          <w:iCs w:val="1"/>
          <w:color w:val="auto"/>
        </w:rPr>
        <w:t xml:space="preserve"> and generated </w:t>
      </w:r>
      <w:r>
        <w:rPr>
          <w:rFonts w:ascii="Times New Roman" w:cs="Times New Roman" w:eastAsia="Times New Roman" w:hAnsi="Times New Roman"/>
          <w:sz w:val="18"/>
          <w:szCs w:val="18"/>
          <w:b w:val="1"/>
          <w:bCs w:val="1"/>
          <w:i w:val="1"/>
          <w:iCs w:val="1"/>
          <w:color w:val="auto"/>
        </w:rPr>
        <w:t>positive fuel gallons growth in the first quarter of fiscal 2026</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Introduced fiscal year 2026 outlook</w:t>
      </w:r>
      <w:r>
        <w:rPr>
          <w:rFonts w:ascii="Times New Roman" w:cs="Times New Roman" w:eastAsia="Times New Roman" w:hAnsi="Times New Roman"/>
          <w:sz w:val="18"/>
          <w:szCs w:val="18"/>
          <w:i w:val="1"/>
          <w:iCs w:val="1"/>
          <w:color w:val="auto"/>
        </w:rPr>
        <w:t>, reflecting confidence in Yesway’s growth strategy, operating momentum, and ability to create long-term shareholder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value</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FORT WORTH, TX – June 2, 2026 – Yesway, Inc. (“Yesway” or the “Company”) (Nasdaq: YSWY), one of the fastest-growing convenience store operators in the U.S., today announced financial results for the first quarter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Highlights</w:t>
      </w:r>
    </w:p>
    <w:p>
      <w:pPr>
        <w:spacing w:after="0" w:line="229" w:lineRule="exact"/>
        <w:rPr>
          <w:sz w:val="20"/>
          <w:szCs w:val="20"/>
          <w:color w:val="auto"/>
        </w:rPr>
      </w:pPr>
    </w:p>
    <w:p>
      <w:pPr>
        <w:ind w:left="66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income increased to $30.2 million from a net loss of $5.6 million in the prior-year period, and Adjusted EBITDA increased 112.9% year-over-year to $59.2 million.</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Same-store inside merchandise sales increased 4.5% compared to the prior-year period and total inside merchandise sales increased 9.5% year-over-year, with a total inside margin of 36.1%.</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Same-store fuel gallons sold increased 0.2% compared to prior-year period and total fuel gallons sold increased 8.0% year-over-year, with a total fuel margin of 49.4 cents per gallon.</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Income from operations increased to $42.4 million from $10.2 million in the prior-year period, and Store Contribution increased 72.7% year-over-year to $74.6 million.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pleased to report record first quarter results following the successful completion of our public offering,” said Thomas N. Trkla, Chairman, President and Chief Executive Officer of Yesway. “Our strong performance reflects the continued execution of our growth strategy and the strength of our differentiated convenience and foodservice platform. During the quarter, we delivered meaningful year-over-year growth across our foodservice, merchandise, and fuel businesses, with fuel sales and margins increasing as we benefited from disciplined operations, strong customer demand, and the continued maturation of our store base.”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Trkla added, “Our momentum has carried into the second quarter, and we remain confident in the resilience of our business model and the significant opportunity ahead. We are focused on further strengthening Yesway’s position as a go-to destination for high-quality foodservice offerings, trusted convenience products, competitive fuel options, and neighborly customer service. With our resilient business model and thoughtful capital allocation strategy, we believe Yesway is well-positioned to continue delivering profitable growth and create long-term value for our shareholders. We are grateful for the dedication of our team members and excited about the significant opportunities ahead as we continue to scale our platform and serve the communities in which we operate.”</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942975" cy="942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Results</w:t>
      </w:r>
      <w:r>
        <w:rPr>
          <w:rFonts w:ascii="Times New Roman" w:cs="Times New Roman" w:eastAsia="Times New Roman" w:hAnsi="Times New Roman"/>
          <w:sz w:val="29"/>
          <w:szCs w:val="29"/>
          <w:b w:val="1"/>
          <w:bCs w:val="1"/>
          <w:color w:val="auto"/>
          <w:vertAlign w:val="superscript"/>
        </w:rPr>
        <w:t>1,2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Same-Store Comparison</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inside merchandise and fuel gross profit increased 21.8% year-over-year on a same-store basis, reflecting growth in both fuel and inside merchandise categories.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Fuel gallons sold were up 0.2% year-over-year on a same-store basis, and same-store fuel gross profit increased 38.5% from the prior-year period.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Inside merchandise sales increased 4.5% year-over-year on a same-store basis, and same-store inside merchandise gross profit increased 9.8% from the prior-year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8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5"/>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ended March 31,</w:t>
            </w:r>
          </w:p>
        </w:tc>
      </w:tr>
      <w:tr>
        <w:trPr>
          <w:trHeight w:val="223"/>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Same-Store Comparison by Category</w:t>
            </w:r>
          </w:p>
        </w:tc>
        <w:tc>
          <w:tcPr>
            <w:tcW w:w="12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Pr>
          <w:p>
            <w:pPr>
              <w:spacing w:after="0"/>
              <w:rPr>
                <w:sz w:val="19"/>
                <w:szCs w:val="19"/>
                <w:color w:val="auto"/>
              </w:rPr>
            </w:pPr>
          </w:p>
        </w:tc>
      </w:tr>
      <w:tr>
        <w:trPr>
          <w:trHeight w:val="223"/>
        </w:trPr>
        <w:tc>
          <w:tcPr>
            <w:tcW w:w="8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gallons</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r>
      <w:tr>
        <w:trPr>
          <w:trHeight w:val="250"/>
        </w:trPr>
        <w:tc>
          <w:tcPr>
            <w:tcW w:w="8280" w:type="dxa"/>
            <w:vAlign w:val="bottom"/>
            <w:gridSpan w:val="2"/>
          </w:tcPr>
          <w:p>
            <w:pPr>
              <w:spacing w:after="0" w:line="250" w:lineRule="exact"/>
              <w:rPr>
                <w:sz w:val="20"/>
                <w:szCs w:val="20"/>
                <w:color w:val="auto"/>
              </w:rPr>
            </w:pPr>
            <w:r>
              <w:rPr>
                <w:rFonts w:ascii="Times New Roman" w:cs="Times New Roman" w:eastAsia="Times New Roman" w:hAnsi="Times New Roman"/>
                <w:sz w:val="17"/>
                <w:szCs w:val="17"/>
                <w:color w:val="auto"/>
              </w:rPr>
              <w:t xml:space="preserve">Fuel sales less cost of goods sold (exclusive of depreciation and amortization) </w:t>
            </w:r>
            <w:r>
              <w:rPr>
                <w:rFonts w:ascii="Times New Roman" w:cs="Times New Roman" w:eastAsia="Times New Roman" w:hAnsi="Times New Roman"/>
                <w:sz w:val="28"/>
                <w:szCs w:val="28"/>
                <w:color w:val="auto"/>
                <w:vertAlign w:val="superscript"/>
              </w:rPr>
              <w:t>(1)</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38.5%</w:t>
            </w:r>
          </w:p>
        </w:tc>
        <w:tc>
          <w:tcPr>
            <w:tcW w:w="4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0"/>
        </w:trPr>
        <w:tc>
          <w:tcPr>
            <w:tcW w:w="8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Inside merchandise sales</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280" w:type="dxa"/>
            <w:vAlign w:val="bottom"/>
            <w:gridSpan w:val="2"/>
          </w:tcPr>
          <w:p>
            <w:pPr>
              <w:spacing w:after="0" w:line="250" w:lineRule="exact"/>
              <w:rPr>
                <w:sz w:val="20"/>
                <w:szCs w:val="20"/>
                <w:color w:val="auto"/>
              </w:rPr>
            </w:pPr>
            <w:r>
              <w:rPr>
                <w:rFonts w:ascii="Times New Roman" w:cs="Times New Roman" w:eastAsia="Times New Roman" w:hAnsi="Times New Roman"/>
                <w:sz w:val="17"/>
                <w:szCs w:val="17"/>
                <w:color w:val="auto"/>
              </w:rPr>
              <w:t xml:space="preserve">Inside merchandise sales less cost of goods sold (exclusive of depreciation and amortization) </w:t>
            </w:r>
            <w:r>
              <w:rPr>
                <w:rFonts w:ascii="Times New Roman" w:cs="Times New Roman" w:eastAsia="Times New Roman" w:hAnsi="Times New Roman"/>
                <w:sz w:val="28"/>
                <w:szCs w:val="28"/>
                <w:color w:val="auto"/>
                <w:vertAlign w:val="superscript"/>
              </w:rPr>
              <w:t>(2)</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9.8%</w:t>
            </w:r>
          </w:p>
        </w:tc>
        <w:tc>
          <w:tcPr>
            <w:tcW w:w="4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8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inside merchandise and fuel sales less cost of goods sold (exclusive of depreciation and amortization)</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3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sales less cost of goods sold (exclusive of depreciation and amortization) for the Iowa and Kansas stores were $1.1 million and $0.9 million in the three months ended March 31, 2026, and 2025, respectively.</w:t>
      </w:r>
    </w:p>
    <w:p>
      <w:pPr>
        <w:ind w:left="340" w:hanging="332"/>
        <w:spacing w:after="0" w:line="26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 merchandise sales for the Iowa and Kansas stores were $5.4 million and $5.7 million in the three months ended March 31, 2026, and 2025,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Fuel</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Fuel sales increased 16.0% year-over-year to $464.3 million, and fuel gross profit increased 48.6% year-over-year to $71.6 million, with fuel margins increasing 37.6% year-over-year to 49.4 cents per gallon.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8"/>
        </w:trPr>
        <w:tc>
          <w:tcPr>
            <w:tcW w:w="8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7"/>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ended March 31,</w:t>
            </w:r>
          </w:p>
        </w:tc>
      </w:tr>
      <w:tr>
        <w:trPr>
          <w:trHeight w:val="223"/>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9"/>
              </w:rPr>
              <w:t>2025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8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gallons sold (in thousands)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145,075</w:t>
            </w:r>
          </w:p>
        </w:tc>
        <w:tc>
          <w:tcPr>
            <w:tcW w:w="2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134,381</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r>
      <w:tr>
        <w:trPr>
          <w:trHeight w:val="209"/>
        </w:trPr>
        <w:tc>
          <w:tcPr>
            <w:tcW w:w="8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Same-store gallons sold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10"/>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sales less cost of goods sold (exclusive of depreciation and amortization)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71,608</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0"/>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Fuel margin (cents per gallon)</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53" w:lineRule="exact"/>
        <w:rPr>
          <w:sz w:val="20"/>
          <w:szCs w:val="20"/>
          <w:color w:val="auto"/>
        </w:rPr>
      </w:pPr>
    </w:p>
    <w:p>
      <w:pPr>
        <w:jc w:val="both"/>
        <w:ind w:firstLine="8"/>
        <w:spacing w:after="0" w:line="219" w:lineRule="auto"/>
        <w:tabs>
          <w:tab w:leader="none" w:pos="13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Results for the periods include 29 stores in Iowa and Kansas, which the Company expects to sell by the end of 2026. Fuel sales less cost of goods sold (exclusive of depreciation and amortization) for the Iowa and Kansas stores were $1.1 million and $0.9 million in the three months ended March 31, 2026, and 2025, respectively. Inside merchandise sales for the Iowa and Kansas stores were $5.4 million and $5.7 million in the three months ended March 31, 2026, and 2025, respectively.</w:t>
      </w:r>
    </w:p>
    <w:p>
      <w:pPr>
        <w:spacing w:after="0" w:line="23" w:lineRule="exact"/>
        <w:rPr>
          <w:sz w:val="20"/>
          <w:szCs w:val="20"/>
          <w:color w:val="auto"/>
        </w:rPr>
      </w:pPr>
    </w:p>
    <w:p>
      <w:pPr>
        <w:ind w:firstLine="8"/>
        <w:spacing w:after="0" w:line="195" w:lineRule="auto"/>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Unless otherwise stated, financial results in this release reflect the historical consolidated results of BW Ultimate Parent, LLC, the predecessor of Yesway, Inc. for financial reporting purposes. See "Presentation of Financial Information" below.</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942975" cy="942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Inside Merchandise</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Inside merchandise sales increased 9.5% year-over-year to $213.7 million, and inside merchandise gross profit increased 15.9% year-over-year to $77.2 million, with inside merchandise margin increasing 196 basis points to 36.1%.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8"/>
        </w:trPr>
        <w:tc>
          <w:tcPr>
            <w:tcW w:w="8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6"/>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rPr>
              <w:t>ended March 31,</w:t>
            </w:r>
          </w:p>
        </w:tc>
      </w:tr>
      <w:tr>
        <w:trPr>
          <w:trHeight w:val="223"/>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9"/>
                <w:szCs w:val="19"/>
                <w:color w:val="auto"/>
              </w:rPr>
            </w:pPr>
          </w:p>
        </w:tc>
      </w:tr>
      <w:tr>
        <w:trPr>
          <w:trHeight w:val="223"/>
        </w:trPr>
        <w:tc>
          <w:tcPr>
            <w:tcW w:w="8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inside merchandise sales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213,677</w:t>
            </w:r>
          </w:p>
        </w:tc>
        <w:tc>
          <w:tcPr>
            <w:tcW w:w="2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195,104</w:t>
            </w:r>
          </w:p>
        </w:tc>
        <w:tc>
          <w:tcPr>
            <w:tcW w:w="140" w:type="dxa"/>
            <w:vAlign w:val="bottom"/>
            <w:tcBorders>
              <w:top w:val="single" w:sz="8" w:color="CCEEFF"/>
            </w:tcBorders>
            <w:shd w:val="clear" w:color="auto" w:fill="CCEEFF"/>
          </w:tcPr>
          <w:p>
            <w:pPr>
              <w:spacing w:after="0"/>
              <w:rPr>
                <w:sz w:val="19"/>
                <w:szCs w:val="19"/>
                <w:color w:val="auto"/>
              </w:rPr>
            </w:pPr>
          </w:p>
        </w:tc>
      </w:tr>
      <w:tr>
        <w:trPr>
          <w:trHeight w:val="210"/>
        </w:trPr>
        <w:tc>
          <w:tcPr>
            <w:tcW w:w="8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Same-store inside merchandise sales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09"/>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Inside merchandise sales less cost of goods sold (exclusive of depreciation and amortization)</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77,158</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66,632</w:t>
            </w:r>
          </w:p>
        </w:tc>
        <w:tc>
          <w:tcPr>
            <w:tcW w:w="140" w:type="dxa"/>
            <w:vAlign w:val="bottom"/>
            <w:shd w:val="clear" w:color="auto" w:fill="CCEEFF"/>
          </w:tcPr>
          <w:p>
            <w:pPr>
              <w:spacing w:after="0"/>
              <w:rPr>
                <w:sz w:val="18"/>
                <w:szCs w:val="18"/>
                <w:color w:val="auto"/>
              </w:rPr>
            </w:pPr>
          </w:p>
        </w:tc>
      </w:tr>
      <w:tr>
        <w:trPr>
          <w:trHeight w:val="210"/>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Inside margin</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0"/>
        </w:trPr>
        <w:tc>
          <w:tcPr>
            <w:tcW w:w="8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Adjusted EBITDA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increased 112.9% year-over-year to $59.2 million, primarily attributable to higher fuel cents per gallon margin.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net income (loss) to Adjusted EBITDA, a non-GAAP financial measure, is provided in the tables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Store Contribution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Store contribution increased 72.7% year-over-year to $74.6 million, primarily attributable to higher fuel cents per gallon margin, increased fuel volumes and merchandise sales driven by more stores open during the period and a higher concentration of new stores.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income from operations to store contribution, a non-GAAP financial measure, is provided in the tables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Store Count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Company operated 449 stores under the Yesway and Allsup’s brands. The following table represents the roll forward of store count through the first quarter of fiscal 2026.</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Stores,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Stores,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ended March 31, 2026</w:t>
      </w:r>
    </w:p>
    <w:p>
      <w:pPr>
        <w:spacing w:after="0" w:line="2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0712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w:t>
      </w:r>
    </w:p>
    <w:p>
      <w:pPr>
        <w:spacing w:after="0" w:line="3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10712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20" w:space="720"/>
            <w:col w:w="1800"/>
          </w:cols>
          <w:pgMar w:left="320" w:top="1440"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Cash Flow and Liquidity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cash and cash equivalents of $56.5 million and total debt, including financing obligations and finance lease obligations, of $649.5 million.</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586105</wp:posOffset>
            </wp:positionV>
            <wp:extent cx="942975" cy="942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 was $48.4 million for the three months ended March 31, 2026, compared to $13.6 million in the prior year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totaled $11.0 million for the three months ended March 31, 2026, compared to $26.3 million in the prior year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Fiscal 2026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Yesway is introducing guidance for fiscal 2026 as detailed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Fiscal 2026 Guidance</w:t>
            </w:r>
          </w:p>
        </w:tc>
      </w:tr>
      <w:tr>
        <w:trPr>
          <w:trHeight w:val="210"/>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Same-store Inside Merchandise Sales Growth</w:t>
            </w:r>
          </w:p>
        </w:tc>
        <w:tc>
          <w:tcPr>
            <w:tcW w:w="504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8"/>
                <w:szCs w:val="18"/>
                <w:color w:val="auto"/>
              </w:rPr>
              <w:t>1.25% - 3.25%</w:t>
            </w:r>
          </w:p>
        </w:tc>
      </w:tr>
      <w:tr>
        <w:trPr>
          <w:trHeight w:val="209"/>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Adjusted EBITDA</w:t>
            </w:r>
          </w:p>
        </w:tc>
        <w:tc>
          <w:tcPr>
            <w:tcW w:w="504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8"/>
                <w:szCs w:val="18"/>
                <w:color w:val="auto"/>
              </w:rPr>
              <w:t>$210 - $220 million</w:t>
            </w:r>
          </w:p>
        </w:tc>
      </w:tr>
      <w:tr>
        <w:trPr>
          <w:trHeight w:val="210"/>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Capital Expenditures</w:t>
            </w:r>
          </w:p>
        </w:tc>
        <w:tc>
          <w:tcPr>
            <w:tcW w:w="504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8"/>
                <w:szCs w:val="18"/>
                <w:color w:val="auto"/>
              </w:rPr>
              <w:t>$85 - $95 million</w:t>
            </w:r>
          </w:p>
        </w:tc>
      </w:tr>
      <w:tr>
        <w:trPr>
          <w:trHeight w:val="209"/>
        </w:trPr>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Store Openings</w:t>
            </w:r>
          </w:p>
        </w:tc>
        <w:tc>
          <w:tcPr>
            <w:tcW w:w="504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8"/>
                <w:szCs w:val="18"/>
                <w:color w:val="auto"/>
              </w:rPr>
              <w:t>6 - 8 new stores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Yesway will hold a conference call and webcast to discuss its first quarter 2026 financial results today, June 2, 2026, at 8:30 AM 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webcast of the conference call will be available on the investor relations section of the Company’s </w:t>
      </w:r>
      <w:r>
        <w:rPr>
          <w:rFonts w:ascii="Times New Roman" w:cs="Times New Roman" w:eastAsia="Times New Roman" w:hAnsi="Times New Roman"/>
          <w:sz w:val="18"/>
          <w:szCs w:val="18"/>
          <w:u w:val="single" w:color="auto"/>
          <w:color w:val="auto"/>
        </w:rPr>
        <w:t>website</w:t>
      </w:r>
      <w:r>
        <w:rPr>
          <w:rFonts w:ascii="Times New Roman" w:cs="Times New Roman" w:eastAsia="Times New Roman" w:hAnsi="Times New Roman"/>
          <w:sz w:val="18"/>
          <w:szCs w:val="18"/>
          <w:color w:val="auto"/>
        </w:rPr>
        <w:t xml:space="preserve"> or by clicking on the webcast link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online archive of the webcast will be available on the Company’s website for 1 year following the call.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Yesway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Established in 2015 and headquartered in Fort Worth, Texas, Yesway is an award-winning convenience store operator with 449 stores across nine states in the Midwest and Southwest. Yesway is renowned for its iconic foodservice offerings, diverse grocery selections, and private-label products, including the famous Allsup's deep-fried burrito. Through strategic acquisitions, the 91 new stores it has developed and opened in the past several years, and its steadfast commitment to customer satisfaction and community engagement, Yesway continues to cement its position as one of the leading convenience retailers in the United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non-GAAP financial measures, such as Adjusted EBITDA and Store Contribution, to supplement financial information presented in accordance with GAAP. We believe that excluding certain items from our GAAP results allows management to better understand our consolidated financial performance, in the case of Adjusted EBITDA, and the direct performance of our stores, in the case of Store Contribution,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performance and enabling them to make more meaningful period to period comparisons. There are limitations to the use of the non-GAAP financial measures presented herein. For example, our non-GAAP financial measures may not be comparable to similarly titled measures of other companies. Additionally, Store Contribution excludes costs that we incur on an enterprise level that while essential in supporting our store operations, are not directly related to store operations, and that we believe result in efficiencies of scale and confer other benefits across our business. Other companies, including companies in our industry, may calculate non-GAAP financial measures differently than we do, limiting the usefulness of those measures for comparative purposes.</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942975" cy="9429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reconciliation of our guidance contained in this press release of Adjusted EBITDA to the most directly comparable GAAP financial measure cannot be provided without unreasonable efforts and is not provided herein because of the inherent difficulty in forecasting and quantifying certain amounts that are necessary for such reconciliations, including but not limited to, uncertainty related to the timing, amount, and structure of stock-based compensation awards, as well as potential forfeitures of such awards, all of which could materially impact the Company’s estimates of forward-looking GAAP net income. These items are inherently difficult to predict, subject to significant variability, and dependent on factors that may be outside of the Company’s control.</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“Definitions” for additional information about our non-GAAP financial measures and “Non-GAAP Reconciling Information” for a reconciliation for each non-GAAP financial measure to the most directly comparable GAAP financial measure.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jc w:val="both"/>
        <w:ind w:left="660" w:hanging="328"/>
        <w:spacing w:after="0" w:line="257"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define the same-store base for a given period as all owned or leased stores that were open for the entirety of that period in both the current and prior years. This measure highlights the performance of existing stores, while excluding the impact of new store openings and closures as well as acquisitions and divestitures.</w:t>
      </w:r>
    </w:p>
    <w:p>
      <w:pPr>
        <w:jc w:val="both"/>
        <w:ind w:left="660" w:hanging="328"/>
        <w:spacing w:after="0" w:line="250"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Store Contribution represents, as applicable for the period, income (loss) from operations before depreciation, amortization and accretion, loss (gain) on disposal of assets, long-lived asset impairment, acquisition financing, integration, and stock-based compensation expense, and overhead expenses directly attributed to support staff and corporate offices that, while essential in supporting our store operations, are not directly related to store operations.</w:t>
      </w:r>
    </w:p>
    <w:p>
      <w:pPr>
        <w:jc w:val="both"/>
        <w:ind w:left="660" w:hanging="328"/>
        <w:spacing w:after="0" w:line="255"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Adjusted EBITDA represents, as applicable for the period, net income (loss) before change in fair value of derivative liability, interest expense, income tax expense, depreciation, amortization, and accretion, and further adjusted by excluding the loss (gain) on disposal of assets, long-lived asset impairment, acquisition, financing, and integration costs, and stock-based compensation expense.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press release presents historical consolidated results for the periods presented of BW Ultimate Parent, LLC, the predecessor of Yesway, Inc. for financial reporting purposes. The financial results of Yesway, Inc. have not been included in this press release as it did not engage in any business or other activities prior to the completion of its initial public offering in April 2026. Accordingly, these historical results do not purport to reflect the results of operations of Yesway, Inc. had the initial public offering and related transactions occurred prior to the beginning of the periods included in this press release.</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942975" cy="9429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information in this press release contains forward-looking statements that involve substantial risks and uncertainties. All statements other than statements of historical facts contained in this press release may be forward-looking statements. Statements regarding our future results of operations and financial position, business strategy and plans and objectives of management for future operations, including, among others, statements regarding the expected timing of the sale of our Iowa and Kansas stores, 2026 guidance, including with respect to same-store sales growth, Adjusted EBITDA, capital expenditures and new store openings, expected growth and future capital expenditures, are forward-looking statements. In some cases, you can identify forward-looking statements by terms, such as “may,” “will,” “would,” “should,” “expects,” “plans,” “anticipates,” “could,” “intends,” “targets,” “projects,” “contemplates,”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are or will be important factors that could cause actual results to differ materially from those indicated in these forward-looking statements, including, but not limited to, the following: volatility in the global prices and availability of oil and petroleum products and general economic conditions, including interest rates; our ability to maintain an adequate pipeline of suitable locations for new stores; our ability to successfully implement our rapid growth strategy; risks associated with new store development; our ability to successfully recruit, hire, and retain qualified personnel; our dependence upon market acceptance by consumers and our failure to offer products that meet our existing customers’ taste and attract new customers; changes to wage regulations and other employment and labor laws; changes in demand for fuel-based modes of transportation and advancements in technologies, such as hybrid and electric vehicles, that significantly reduce fuel consumption related to the public’s current general approach with regard to climate change and the effects of greenhouse gas emissions, among others; our dependence on a limited number of suppliers for the majority of our gross fuel purchases and merchandise; operational hazards and risks normally associated with marketing of petroleum products; hazards and risks relating to the physical effects of weather and climate change; changes to tobacco legislation, potential court rulings affecting the tobacco industry, campaigns to discourage smoking, increases in tobacco and nicotine products taxes and wholesale cost increases of tobacco and nicotine products; the significant influence that Brookwood Financial Partners, LLC continues to have over us, including control over decisions that require the approval of stockholders; and the other important factors discussed under “Risk Factors” in our final prospectus dated April 21, 2026, as filed with the SEC on April 23, 2026 pursuant to Rule 424(b) under the Securities Act of 1933 (the “Prospectus”) and in our other filings with the SEC.</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press release.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IR@yesway.com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Erin Vadala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evadala@boltpr.com</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942975" cy="9429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 Ultimate Parent,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32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Revenues </w:t>
            </w:r>
            <w:r>
              <w:rPr>
                <w:rFonts w:ascii="Times New Roman" w:cs="Times New Roman" w:eastAsia="Times New Roman" w:hAnsi="Times New Roman"/>
                <w:sz w:val="28"/>
                <w:szCs w:val="28"/>
                <w:b w:val="1"/>
                <w:bCs w:val="1"/>
                <w:color w:val="auto"/>
                <w:vertAlign w:val="superscript"/>
              </w:rPr>
              <w:t>(a)</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683,630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600,318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Cost of goods sold (exclusive of depreciation and amortization, shown separately below) </w:t>
            </w:r>
            <w:r>
              <w:rPr>
                <w:rFonts w:ascii="Times New Roman" w:cs="Times New Roman" w:eastAsia="Times New Roman" w:hAnsi="Times New Roman"/>
                <w:sz w:val="29"/>
                <w:szCs w:val="29"/>
                <w:color w:val="auto"/>
                <w:vertAlign w:val="superscript"/>
              </w:rPr>
              <w:t>(a)</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529,215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480,452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49,712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46,357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15,988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disposal of assets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641,186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590,118</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42,444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12,208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12,208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15,834</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30,236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30,236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BW Ultimate Parent, LLC</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30,236</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 Includes excise taxes of approximately:</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58,973</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54,317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942975" cy="942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 Ultimate Parent,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10"/>
        </w:trPr>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56,472</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36,592</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$138 and $147 as of March 31, 2026, and</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32,213</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24,538</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88,282</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83,171</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5,183</w:t>
            </w: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18,500</w:t>
            </w:r>
          </w:p>
        </w:tc>
        <w:tc>
          <w:tcPr>
            <w:tcW w:w="4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13,235</w:t>
            </w:r>
          </w:p>
        </w:tc>
        <w:tc>
          <w:tcPr>
            <w:tcW w:w="0" w:type="dxa"/>
            <w:vAlign w:val="bottom"/>
          </w:tcPr>
          <w:p>
            <w:pPr>
              <w:spacing w:after="0"/>
              <w:rPr>
                <w:sz w:val="1"/>
                <w:szCs w:val="1"/>
                <w:color w:val="auto"/>
              </w:rPr>
            </w:pPr>
          </w:p>
        </w:tc>
      </w:tr>
      <w:tr>
        <w:trPr>
          <w:trHeight w:val="209"/>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200,650</w:t>
            </w: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860,351</w:t>
            </w: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868,559</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280,946</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280,946</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277,996</w:t>
            </w: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277,996</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338,635</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332,655</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1,902</w:t>
            </w: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16,599</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16,501</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11,692</w:t>
            </w:r>
          </w:p>
        </w:tc>
        <w:tc>
          <w:tcPr>
            <w:tcW w:w="4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6,892</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1,988,771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1,949,174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senior preferred membership interests, and members’ equity</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debt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4,100</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4,100</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financing obligations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2,065</w:t>
            </w: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operating lease liabilities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5,456</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5,417</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finance lease liabilities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69</w:t>
            </w: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affiliates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58</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98,805</w:t>
            </w: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72,964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41,961</w:t>
            </w:r>
          </w:p>
        </w:tc>
        <w:tc>
          <w:tcPr>
            <w:tcW w:w="4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49,072</w:t>
            </w:r>
          </w:p>
        </w:tc>
        <w:tc>
          <w:tcPr>
            <w:tcW w:w="0" w:type="dxa"/>
            <w:vAlign w:val="bottom"/>
          </w:tcPr>
          <w:p>
            <w:pPr>
              <w:spacing w:after="0"/>
              <w:rPr>
                <w:sz w:val="1"/>
                <w:szCs w:val="1"/>
                <w:color w:val="auto"/>
              </w:rPr>
            </w:pPr>
          </w:p>
        </w:tc>
      </w:tr>
      <w:tr>
        <w:trPr>
          <w:trHeight w:val="209"/>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152,514</w:t>
            </w: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Debt, net of current maturities, debt discount, and debt issuance costs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418,163</w:t>
            </w: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428,211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obligations, net of current maturities, debt discount, and debt issuance costs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223,002</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222,851</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maturities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323,080</w:t>
            </w: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316,451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 net of current maturities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2,162</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10,272</w:t>
            </w: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10,096</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1,422</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22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10,981</w:t>
            </w:r>
          </w:p>
        </w:tc>
        <w:tc>
          <w:tcPr>
            <w:tcW w:w="4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11,465</w:t>
            </w:r>
          </w:p>
        </w:tc>
        <w:tc>
          <w:tcPr>
            <w:tcW w:w="0" w:type="dxa"/>
            <w:vAlign w:val="bottom"/>
          </w:tcPr>
          <w:p>
            <w:pPr>
              <w:spacing w:after="0"/>
              <w:rPr>
                <w:sz w:val="1"/>
                <w:szCs w:val="1"/>
                <w:color w:val="auto"/>
              </w:rPr>
            </w:pPr>
          </w:p>
        </w:tc>
      </w:tr>
      <w:tr>
        <w:trPr>
          <w:trHeight w:val="210"/>
        </w:trPr>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1,141,596</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1,126,377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Redeemable senior preferred membership interests (150,000 shares authorized and outstanding, redemption</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$249,287 and $239,628 and liquidation preference amount of $249,287 and $239,628 as of</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249,287</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2026, and December 31, 2025, respectively)</w:t>
            </w: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239,628</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Members’ equity</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Members’ capital</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596,789</w:t>
            </w: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582,070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1,099</w:t>
            </w:r>
          </w:p>
        </w:tc>
        <w:tc>
          <w:tcPr>
            <w:tcW w:w="4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09"/>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members’ equity</w:t>
            </w:r>
          </w:p>
        </w:tc>
        <w:tc>
          <w:tcPr>
            <w:tcW w:w="2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597,888</w:t>
            </w:r>
          </w:p>
        </w:tc>
        <w:tc>
          <w:tcPr>
            <w:tcW w:w="2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583,169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senior preferred membership interests, equity, and members’ equity</w:t>
            </w:r>
          </w:p>
        </w:tc>
        <w:tc>
          <w:tcPr>
            <w:tcW w:w="2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1,988,771</w:t>
            </w:r>
          </w:p>
        </w:tc>
        <w:tc>
          <w:tcPr>
            <w:tcW w:w="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1,949,174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839"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942975" cy="9429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 Ultimate Parent,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30,236</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(5,634)</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amortization, accretion expense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15,988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15,517</w:t>
            </w: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1,952</w:t>
            </w: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cost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1,049</w:t>
            </w: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(745)</w:t>
            </w: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(7,684)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(2,134)</w:t>
            </w: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(5,111)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3,410</w:t>
            </w: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975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(940)</w:t>
            </w: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assets - BTS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(5,149)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5,110</w:t>
            </w: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 - Other</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 payable - Fuel</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27,716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(2,953)</w:t>
            </w: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 payable - Other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(2,277)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(6,444)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(1,547)</w:t>
            </w: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(1,043)</w:t>
            </w:r>
          </w:p>
        </w:tc>
      </w:tr>
      <w:tr>
        <w:trPr>
          <w:trHeight w:val="229"/>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r>
      <w:tr>
        <w:trPr>
          <w:trHeight w:val="263"/>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48,353</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100" w:type="dxa"/>
            <w:vAlign w:val="bottom"/>
            <w:tcBorders>
              <w:bottom w:val="single" w:sz="8" w:color="CCEEFF"/>
            </w:tcBorders>
          </w:tcPr>
          <w:p>
            <w:pPr>
              <w:spacing w:after="0"/>
              <w:rPr>
                <w:sz w:val="22"/>
                <w:szCs w:val="22"/>
                <w:color w:val="auto"/>
              </w:rPr>
            </w:pPr>
          </w:p>
        </w:tc>
      </w:tr>
      <w:tr>
        <w:trPr>
          <w:trHeight w:val="196"/>
        </w:trPr>
        <w:tc>
          <w:tcPr>
            <w:tcW w:w="8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of property and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Proceeds from sale of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investing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(10,967)</w:t>
      </w:r>
      <w:r>
        <w:rPr>
          <w:sz w:val="20"/>
          <w:szCs w:val="20"/>
          <w:color w:val="auto"/>
        </w:rPr>
        <w:tab/>
      </w:r>
      <w:r>
        <w:rPr>
          <w:rFonts w:ascii="Times New Roman" w:cs="Times New Roman" w:eastAsia="Times New Roman" w:hAnsi="Times New Roman"/>
          <w:sz w:val="18"/>
          <w:szCs w:val="18"/>
          <w:color w:val="auto"/>
        </w:rPr>
        <w:t>(26,329)</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(715)</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916</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(2,525)</w:t>
      </w:r>
      <w:r>
        <w:rPr>
          <w:rFonts w:ascii="Times New Roman" w:cs="Times New Roman" w:eastAsia="Times New Roman" w:hAnsi="Times New Roman"/>
          <w:sz w:val="18"/>
          <w:szCs w:val="18"/>
          <w:color w:val="auto"/>
        </w:rPr>
        <w:t>(47)</w:t>
      </w:r>
    </w:p>
    <w:p>
      <w:pPr>
        <w:spacing w:after="0" w:line="2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(13,492)</w:t>
      </w:r>
      <w:r>
        <w:rPr>
          <w:sz w:val="20"/>
          <w:szCs w:val="20"/>
          <w:color w:val="auto"/>
        </w:rPr>
        <w:tab/>
      </w:r>
      <w:r>
        <w:rPr>
          <w:rFonts w:ascii="Times New Roman" w:cs="Times New Roman" w:eastAsia="Times New Roman" w:hAnsi="Times New Roman"/>
          <w:sz w:val="18"/>
          <w:szCs w:val="18"/>
          <w:color w:val="auto"/>
        </w:rPr>
        <w:t>(26,175)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40005</wp:posOffset>
            </wp:positionV>
            <wp:extent cx="17056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20" w:space="720"/>
            <w:col w:w="2100"/>
          </w:cols>
          <w:pgMar w:left="320" w:top="1440" w:right="339" w:bottom="1440" w:gutter="0" w:footer="0" w:header="0"/>
          <w:type w:val="continuous"/>
        </w:sectPr>
      </w:pP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revolver</w:t>
            </w: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revolver</w:t>
            </w:r>
          </w:p>
        </w:tc>
        <w:tc>
          <w:tcPr>
            <w:tcW w:w="1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(10,000)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borrowings from term loan</w:t>
            </w: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(1,025)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debt issuance costs</w:t>
            </w:r>
          </w:p>
        </w:tc>
        <w:tc>
          <w:tcPr>
            <w:tcW w:w="1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financing obligation</w:t>
            </w: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2,489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financing obligation with lessors</w:t>
            </w:r>
          </w:p>
        </w:tc>
        <w:tc>
          <w:tcPr>
            <w:tcW w:w="1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(470)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financing leases</w:t>
            </w: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to redeemable senior preferred membership interests</w:t>
            </w:r>
          </w:p>
        </w:tc>
        <w:tc>
          <w:tcPr>
            <w:tcW w:w="1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(743)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members</w:t>
            </w:r>
          </w:p>
        </w:tc>
        <w:tc>
          <w:tcPr>
            <w:tcW w:w="1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(5,115)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(2,393)</w:t>
            </w:r>
          </w:p>
        </w:tc>
      </w:tr>
      <w:tr>
        <w:trPr>
          <w:trHeight w:val="223"/>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(14,981</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20" w:type="dxa"/>
            <w:vAlign w:val="bottom"/>
            <w:tcBorders>
              <w:bottom w:val="single" w:sz="8" w:color="CCEEFF"/>
            </w:tcBorders>
          </w:tcPr>
          <w:p>
            <w:pPr>
              <w:spacing w:after="0"/>
              <w:rPr>
                <w:sz w:val="17"/>
                <w:szCs w:val="17"/>
                <w:color w:val="auto"/>
              </w:rPr>
            </w:pPr>
          </w:p>
        </w:tc>
        <w:tc>
          <w:tcPr>
            <w:tcW w:w="18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223"/>
        </w:trPr>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18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19,880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1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36,592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32,720</w:t>
            </w:r>
          </w:p>
        </w:tc>
      </w:tr>
      <w:tr>
        <w:trPr>
          <w:trHeight w:val="229"/>
        </w:trPr>
        <w:tc>
          <w:tcPr>
            <w:tcW w:w="66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8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56,472</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31,214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29"/>
        </w:trPr>
        <w:tc>
          <w:tcPr>
            <w:tcW w:w="66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240"/>
          </w:cols>
          <w:pgMar w:left="320" w:top="1440" w:right="33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942975" cy="9429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Reconciling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a reconciliation of Net Income to Adjusted EBITDA for the three months ended March 31, 2026, and 2025, respectively: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 Ultimate Parent,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7"/>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r>
      <w:tr>
        <w:trPr>
          <w:trHeight w:val="23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19"/>
                <w:szCs w:val="19"/>
                <w:color w:val="auto"/>
              </w:rPr>
            </w:pPr>
          </w:p>
        </w:tc>
      </w:tr>
      <w:tr>
        <w:trPr>
          <w:trHeight w:val="20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disposal of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financing, and integration costs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0.9</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contains a reconciliation of income from operations to Store Contribution for the three months ended March 31, 2026, and 2025, respectively: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 Ultimate Parent,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Income from Operations to Store Contribution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7"/>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disposal of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financing, and integration costs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Overhead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Salaries and benefits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Facility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Professional services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software and hardware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Repairs and maintenance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Meetings and travel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Insurance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8"/>
                <w:szCs w:val="18"/>
                <w:color w:val="auto"/>
              </w:rPr>
            </w:pPr>
          </w:p>
        </w:tc>
      </w:tr>
      <w:tr>
        <w:trPr>
          <w:trHeight w:val="229"/>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and expense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overhead expenses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4"/>
        </w:trPr>
        <w:tc>
          <w:tcPr>
            <w:tcW w:w="8320" w:type="dxa"/>
            <w:vAlign w:val="bottom"/>
          </w:tcPr>
          <w:p>
            <w:pPr>
              <w:spacing w:after="0" w:line="263" w:lineRule="exact"/>
              <w:rPr>
                <w:sz w:val="20"/>
                <w:szCs w:val="20"/>
                <w:color w:val="auto"/>
              </w:rPr>
            </w:pPr>
            <w:r>
              <w:rPr>
                <w:rFonts w:ascii="Times New Roman" w:cs="Times New Roman" w:eastAsia="Times New Roman" w:hAnsi="Times New Roman"/>
                <w:sz w:val="18"/>
                <w:szCs w:val="18"/>
                <w:color w:val="auto"/>
              </w:rPr>
              <w:t xml:space="preserve">Store Contribution </w:t>
            </w:r>
            <w:r>
              <w:rPr>
                <w:rFonts w:ascii="Times New Roman" w:cs="Times New Roman" w:eastAsia="Times New Roman" w:hAnsi="Times New Roman"/>
                <w:sz w:val="29"/>
                <w:szCs w:val="29"/>
                <w:color w:val="auto"/>
                <w:vertAlign w:val="superscript"/>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74.6</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tcPr>
          <w:p>
            <w:pPr>
              <w:spacing w:after="0"/>
              <w:rPr>
                <w:sz w:val="22"/>
                <w:szCs w:val="22"/>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Store Contribution generated by the 29 stores in Iowa and Kansas was $0.2 million and $1 million in the three months ended March 31, 2026, and 2025, respectively.</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2"/>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emdash "/>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2026-06-02T06:38:03Z</dcterms:created>
  <dcterms:modified xsi:type="dcterms:W3CDTF">2026-06-02T06:38:03Z</dcterms:modified>
</cp:coreProperties>
</file>