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Zernich Kurt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YESWAY,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EAGLE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Yesway,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YSWY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112"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2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FORT WORTH  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76177</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04/21/2026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ind w:left="214"/>
              <w:spacing w:after="0"/>
              <w:rPr>
                <w:sz w:val="20"/>
                <w:szCs w:val="20"/>
                <w:color w:val="auto"/>
              </w:rPr>
            </w:pPr>
            <w:r>
              <w:rPr>
                <w:rFonts w:ascii="Times New Roman" w:cs="Times New Roman" w:eastAsia="Times New Roman" w:hAnsi="Times New Roman"/>
                <w:sz w:val="17"/>
                <w:szCs w:val="17"/>
                <w:color w:val="0000FF"/>
                <w:w w:val="98"/>
              </w:rPr>
              <w:t>77,089</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1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12"/>
              <w:spacing w:after="0"/>
              <w:rPr>
                <w:sz w:val="20"/>
                <w:szCs w:val="20"/>
                <w:color w:val="auto"/>
              </w:rPr>
            </w:pPr>
            <w:r>
              <w:rPr>
                <w:rFonts w:ascii="Times New Roman" w:cs="Times New Roman" w:eastAsia="Times New Roman" w:hAnsi="Times New Roman"/>
                <w:sz w:val="17"/>
                <w:szCs w:val="17"/>
                <w:color w:val="0000FF"/>
                <w:w w:val="98"/>
              </w:rPr>
              <w:t>77,089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04/24/2026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A</w:t>
            </w:r>
          </w:p>
        </w:tc>
        <w:tc>
          <w:tcPr>
            <w:tcW w:w="10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198,000</w:t>
            </w:r>
            <w:r>
              <w:rPr>
                <w:rFonts w:ascii="Times New Roman" w:cs="Times New Roman" w:eastAsia="Times New Roman" w:hAnsi="Times New Roman"/>
                <w:sz w:val="21"/>
                <w:szCs w:val="21"/>
                <w:color w:val="008000"/>
                <w:w w:val="92"/>
                <w:vertAlign w:val="superscript"/>
              </w:rPr>
              <w:t>(2)</w:t>
            </w: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15"/>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12"/>
              <w:spacing w:after="0"/>
              <w:rPr>
                <w:sz w:val="20"/>
                <w:szCs w:val="20"/>
                <w:color w:val="auto"/>
              </w:rPr>
            </w:pPr>
            <w:r>
              <w:rPr>
                <w:rFonts w:ascii="Times New Roman" w:cs="Times New Roman" w:eastAsia="Times New Roman" w:hAnsi="Times New Roman"/>
                <w:sz w:val="17"/>
                <w:szCs w:val="17"/>
                <w:color w:val="0000FF"/>
                <w:w w:val="97"/>
              </w:rPr>
              <w:t>198,000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04/24/2026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A</w:t>
            </w:r>
          </w:p>
        </w:tc>
        <w:tc>
          <w:tcPr>
            <w:tcW w:w="10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0"/>
              </w:rPr>
              <w:t>198,000</w:t>
            </w:r>
            <w:r>
              <w:rPr>
                <w:rFonts w:ascii="Times New Roman" w:cs="Times New Roman" w:eastAsia="Times New Roman" w:hAnsi="Times New Roman"/>
                <w:sz w:val="21"/>
                <w:szCs w:val="21"/>
                <w:color w:val="008000"/>
                <w:w w:val="90"/>
                <w:vertAlign w:val="superscript"/>
              </w:rPr>
              <w:t>(3)(4)</w:t>
            </w: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15"/>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12"/>
              <w:spacing w:after="0"/>
              <w:rPr>
                <w:sz w:val="20"/>
                <w:szCs w:val="20"/>
                <w:color w:val="auto"/>
              </w:rPr>
            </w:pPr>
            <w:r>
              <w:rPr>
                <w:rFonts w:ascii="Times New Roman" w:cs="Times New Roman" w:eastAsia="Times New Roman" w:hAnsi="Times New Roman"/>
                <w:sz w:val="17"/>
                <w:szCs w:val="17"/>
                <w:color w:val="0000FF"/>
                <w:w w:val="97"/>
              </w:rPr>
              <w:t>396,000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77,089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04/21/2026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77,089</w:t>
            </w: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77,089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Interests</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reorganization in connection with its initial public offering, as described in the registration statement on Form S-1 relating to the initial public offering (the "Registration Statement"). These securities were previously reported on a Form 3 filed by the Reporting Person.</w:t>
      </w:r>
    </w:p>
    <w:p>
      <w:pPr>
        <w:spacing w:after="0" w:line="16"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of which represents a contingent right to receive one share of the Issuer's Class A Common Stock. The RSUs will vest in equal installments on each of the first three anniversaries of the date of effectiveness of the Registration Statement.</w:t>
      </w:r>
    </w:p>
    <w:p>
      <w:pPr>
        <w:spacing w:after="0" w:line="16" w:lineRule="exact"/>
        <w:rPr>
          <w:rFonts w:ascii="Times New Roman" w:cs="Times New Roman" w:eastAsia="Times New Roman" w:hAnsi="Times New Roman"/>
          <w:sz w:val="13"/>
          <w:szCs w:val="13"/>
          <w:color w:val="008000"/>
        </w:rPr>
      </w:pPr>
    </w:p>
    <w:p>
      <w:pPr>
        <w:ind w:left="40" w:right="24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performance-based restricted stock units (the "PSUs"), each of which represents a contingent right to receive one share of the Issuer's Class A Common Stock. The PSUs will be eligible to vest 50% on the later of (i) the first day following the date on which the 30-day volume weighted average market price of a share of Class A Common Stock equals or exceeds 1.5x the initial offering price per share of Class A Common Stock and (ii) the second anniversary of the date of effectiveness of the Registration Statement; and the remaining 50% will be eligible to vest on the later of (i) the first day following the date on which the 30-day volume weighted average market price of a share of Class A Common Stock equals or exceeds 2.0x the initial offering price per share of Class A Common Stock and (ii) the third anniversary of the date of effectiveness of the Registration Statement (with no linear interpolation if the market price falls between the two stock price hurdles).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If these vesting conditions are not met by the fifth anniversary of the date of effectiveness of the Registration Statement, any unvested PSUs will be forfeited automatically for no consideration.</w:t>
      </w:r>
    </w:p>
    <w:p>
      <w:pPr>
        <w:spacing w:after="0" w:line="44" w:lineRule="exact"/>
        <w:rPr>
          <w:rFonts w:ascii="Times New Roman" w:cs="Times New Roman" w:eastAsia="Times New Roman" w:hAnsi="Times New Roman"/>
          <w:sz w:val="13"/>
          <w:szCs w:val="13"/>
          <w:color w:val="008000"/>
        </w:rPr>
      </w:pPr>
    </w:p>
    <w:p>
      <w:pPr>
        <w:ind w:left="40" w:right="3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membership units of BW Ultimate Parent, LLC (the "LLC Interests") may be redeemed by the Reporting Person at any time at the option of the holder for shares of Class A Common Stock on a 1-to-1 basis, and a corresponding number of shares of Class B Common Stock will be forfeited in connection with the redemption. The LLC Interests have no expiration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Thomas N. Trkla, Attorney-  </w:t>
      </w:r>
      <w:r>
        <w:rPr>
          <w:rFonts w:ascii="Times New Roman" w:cs="Times New Roman" w:eastAsia="Times New Roman" w:hAnsi="Times New Roman"/>
          <w:sz w:val="32"/>
          <w:szCs w:val="32"/>
          <w:color w:val="0000FF"/>
          <w:vertAlign w:val="subscript"/>
        </w:rPr>
        <w:t>04/28/2026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2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Kurt M. Zernich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56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1498" TargetMode="External"/><Relationship Id="rId14" Type="http://schemas.openxmlformats.org/officeDocument/2006/relationships/hyperlink" Target="http://www.sec.gov/cgi-bin/browse-edgar?action=getcompany&amp;CIK=00018598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2026-04-28T16:19:36Z</dcterms:created>
  <dcterms:modified xsi:type="dcterms:W3CDTF">2026-04-28T16:19:36Z</dcterms:modified>
</cp:coreProperties>
</file>