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2184-16_4seq1.xml.htm"/>
      <w:bookmarkStart w:id="1" w:name="kstm261218416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Shauna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YESWAY,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EAGLE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Yesway,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YSWY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(the "RSUs"), each of which represents a contingent right to receive one share of the Issuer's Class A Common Stock. The RSUs will vest in equal installments on each of the first three anniversaries of the date of effectiveness of the Registration Statement.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N. Trkla, Attorney-in-fact for Shauna J. Clark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344" TargetMode="External"/><Relationship Id="rId5" Type="http://schemas.openxmlformats.org/officeDocument/2006/relationships/hyperlink" Target="http://www.sec.gov/cgi-bin/browse-edgar?action=getcompany&amp;CIK=00018598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3312</Characters>
  <CharactersWithSpaces>3870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