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2184-5_4seq1.xml.htm"/>
      <w:bookmarkStart w:id="1" w:name="kstm2612184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Ayles Ericka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YESWAY,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EAGLE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Yesway, Inc.</w:t>
              </w:r>
            </w:hyperlink>
            <w:r>
              <w:rPr/>
              <w:t xml:space="preserve"> [ </w:t>
            </w:r>
            <w:r>
              <w:rPr>
                <w:rFonts w:ascii="Times;serif" w:hAnsi="Times;serif"/>
                <w:color w:val="0000FF"/>
                <w:sz w:val="24"/>
                <w:shd w:fill="FFFFFF" w:val="clear"/>
              </w:rPr>
              <w:t>YSWY</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CFO and Treasurer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83,656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83,656</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216,000</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216,000</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216,000</w:t>
            </w:r>
            <w:r>
              <w:rPr>
                <w:rFonts w:ascii="Times;serif" w:hAnsi="Times;serif"/>
                <w:color w:val="008000"/>
                <w:position w:val="7"/>
                <w:sz w:val="16"/>
                <w:sz w:val="20"/>
                <w:shd w:fill="FFFFFF" w:val="clear"/>
              </w:rPr>
              <w:t>(3)(4)</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44"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Interests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83,656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83,656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received as part of the Issuer's reorganization in connection with its initial public offering, as described in the registration statement on Form S-1 relating to the initial public offering (the "Registration Statement"). These securities were previously reported on a Form 3 filed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an award of restricted stock units (the "RSUs"), each of which represents a contingent right to receive one share of the Issuer's Class A Common Stock. The RSUs will vest in equal installments on each of the first three anniversaries of the date of effectiveness of the Registration Statement.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an award of performance-based restricted stock units (the "PSUs"), each of which represents a contingent right to receive one share of the Issuer's Class A Common Stock. The PSUs will be eligible to vest 50% on the later of (i) the first day following the date on which the 30-day volume weighted average market price of a share of Class A Common Stock equals or exceeds 1.5x the initial offering price per share of Class A Common Stock and (ii) the second anniversary of the date of effectiveness of the Registration Statement; and the remaining 50% will be eligible to vest on the later of (i) the first day following the date on which the 30-day volume weighted average market price of a share of Class A Common Stock equals or exceeds 2.0x the initial offering price per share of Class A Common Stock and (ii) the third anniversary of the date of effectiveness of the Registration Statement (with no linear interpolation if the market price falls between the two stock price hurdles).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If these vesting conditions are not met by the fifth anniversary of the date of effectiveness of the Registration Statement, any unvested PSUs will be forfeited automatically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membership units of BW Ultimate Parent, LLC (the "LLC Interests") may be redeemed by the Reporting Person at any time at the option of the holder for shares of Class A Common Stock on a 1-to-1 basis, and a corresponding number of shares of Class B Common Stock will be forfeited in connection with the redemption. The LLC Interests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N. Trkla, Attorney-in-fact for Ericka L. Ayles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492" TargetMode="External"/><Relationship Id="rId5" Type="http://schemas.openxmlformats.org/officeDocument/2006/relationships/hyperlink" Target="http://www.sec.gov/cgi-bin/browse-edgar?action=getcompany&amp;CIK=00018598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978</Words>
  <Characters>5084</Characters>
  <CharactersWithSpaces>5978</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