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5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50"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___________ to ___________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001-43243</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Yesway,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620" w:type="dxa"/>
        <w:tblCellMar>
          <w:top w:w="0" w:type="dxa"/>
          <w:left w:w="0" w:type="dxa"/>
          <w:bottom w:w="0" w:type="dxa"/>
          <w:right w:w="0" w:type="dxa"/>
        </w:tblCellMar>
      </w:tblPr>
      <w:tr>
        <w:trPr>
          <w:trHeight w:val="216"/>
        </w:trPr>
        <w:tc>
          <w:tcPr>
            <w:tcW w:w="3500" w:type="dxa"/>
            <w:vAlign w:val="bottom"/>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center"/>
              <w:ind w:left="1702"/>
              <w:spacing w:after="0"/>
              <w:rPr>
                <w:sz w:val="20"/>
                <w:szCs w:val="20"/>
                <w:color w:val="auto"/>
              </w:rPr>
            </w:pPr>
            <w:r>
              <w:rPr>
                <w:rFonts w:ascii="Times New Roman" w:cs="Times New Roman" w:eastAsia="Times New Roman" w:hAnsi="Times New Roman"/>
                <w:sz w:val="18"/>
                <w:szCs w:val="18"/>
                <w:b w:val="1"/>
                <w:bCs w:val="1"/>
                <w:color w:val="auto"/>
              </w:rPr>
              <w:t>86-3446060</w:t>
            </w:r>
          </w:p>
        </w:tc>
      </w:tr>
      <w:tr>
        <w:trPr>
          <w:trHeight w:val="148"/>
        </w:trPr>
        <w:tc>
          <w:tcPr>
            <w:tcW w:w="3500" w:type="dxa"/>
            <w:vAlign w:val="bottom"/>
          </w:tcPr>
          <w:p>
            <w:pPr>
              <w:jc w:val="center"/>
              <w:ind w:right="168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60" w:type="dxa"/>
            <w:vAlign w:val="bottom"/>
          </w:tcPr>
          <w:p>
            <w:pPr>
              <w:jc w:val="center"/>
              <w:ind w:left="170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500" w:type="dxa"/>
            <w:vAlign w:val="bottom"/>
          </w:tcPr>
          <w:p>
            <w:pPr>
              <w:jc w:val="center"/>
              <w:ind w:right="168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60" w:type="dxa"/>
            <w:vAlign w:val="bottom"/>
          </w:tcPr>
          <w:p>
            <w:pPr>
              <w:jc w:val="center"/>
              <w:ind w:left="170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2301 Eagle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Worth, TX</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registrant’s principal executive offices)</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76177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(682) 428-2400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Trading Symbol(s)</w:t>
            </w: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Name of each exchange on which registered</w:t>
            </w: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w:t>
            </w:r>
          </w:p>
        </w:tc>
        <w:tc>
          <w:tcPr>
            <w:tcW w:w="220" w:type="dxa"/>
            <w:vAlign w:val="bottom"/>
          </w:tcPr>
          <w:p>
            <w:pPr>
              <w:spacing w:after="0"/>
              <w:rPr>
                <w:sz w:val="19"/>
                <w:szCs w:val="19"/>
                <w:color w:val="auto"/>
              </w:rPr>
            </w:pPr>
          </w:p>
        </w:tc>
        <w:tc>
          <w:tcPr>
            <w:tcW w:w="20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YSWY</w:t>
            </w:r>
          </w:p>
        </w:tc>
        <w:tc>
          <w:tcPr>
            <w:tcW w:w="220" w:type="dxa"/>
            <w:vAlign w:val="bottom"/>
          </w:tcPr>
          <w:p>
            <w:pPr>
              <w:spacing w:after="0"/>
              <w:rPr>
                <w:sz w:val="19"/>
                <w:szCs w:val="19"/>
                <w:color w:val="auto"/>
              </w:rPr>
            </w:pPr>
          </w:p>
        </w:tc>
        <w:tc>
          <w:tcPr>
            <w:tcW w:w="38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8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142" w:lineRule="exact"/>
        <w:rPr>
          <w:sz w:val="24"/>
          <w:szCs w:val="24"/>
          <w:color w:val="auto"/>
        </w:rPr>
      </w:pPr>
    </w:p>
    <w:p>
      <w:pPr>
        <w:sectPr>
          <w:pgSz w:w="11900" w:h="16838" w:orient="portrait"/>
          <w:cols w:equalWidth="0" w:num="3">
            <w:col w:w="2820" w:space="720"/>
            <w:col w:w="2780" w:space="720"/>
            <w:col w:w="2880"/>
          </w:cols>
          <w:pgMar w:left="980" w:top="661" w:right="99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2820" w:space="720"/>
            <w:col w:w="6380"/>
          </w:cols>
          <w:pgMar w:left="980" w:top="661" w:right="99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registrant had 31,185,562 shares of Class A common stock and 32,009,185 shares of Class B common stock outstanding as of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9100" w:type="dxa"/>
            <w:vAlign w:val="bottom"/>
            <w:gridSpan w:val="36"/>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80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Yesway, Inc.</w:t>
            </w:r>
          </w:p>
        </w:tc>
        <w:tc>
          <w:tcPr>
            <w:tcW w:w="558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8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EE"/>
              </w:rPr>
              <w:t>Condensed Balance Sheets as of March 31, 2026, and December 31, 2025 (Unaudited)</w:t>
            </w:r>
          </w:p>
        </w:tc>
        <w:tc>
          <w:tcPr>
            <w:tcW w:w="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for the three months ended March 31, 2026, and March 31, 2025,</w:t>
            </w:r>
          </w:p>
        </w:tc>
        <w:tc>
          <w:tcPr>
            <w:tcW w:w="26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800" w:type="dxa"/>
            <w:vAlign w:val="bottom"/>
            <w:gridSpan w:val="25"/>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Changes in Redeemable Senior Preferred Membership Interests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Stockholder’s Equity (Unaudited) for the three months ended March 31, 2026, and March 31, 2025,</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300" w:type="dxa"/>
            <w:vAlign w:val="bottom"/>
            <w:tcBorders>
              <w:top w:val="single" w:sz="8" w:color="0000EE"/>
            </w:tcBorders>
            <w:gridSpan w:val="17"/>
          </w:tcPr>
          <w:p>
            <w:pPr>
              <w:spacing w:after="0"/>
              <w:rPr>
                <w:sz w:val="17"/>
                <w:szCs w:val="17"/>
                <w:color w:val="auto"/>
              </w:rPr>
            </w:pPr>
          </w:p>
        </w:tc>
        <w:tc>
          <w:tcPr>
            <w:tcW w:w="500" w:type="dxa"/>
            <w:vAlign w:val="bottom"/>
            <w:gridSpan w:val="8"/>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Cash Flows for the three months ended March 31, 2026, and March 31, 2025,</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800" w:type="dxa"/>
            <w:vAlign w:val="bottom"/>
            <w:gridSpan w:val="25"/>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Financial Statements (Unaudited)</w:t>
            </w:r>
          </w:p>
        </w:tc>
        <w:tc>
          <w:tcPr>
            <w:tcW w:w="4600" w:type="dxa"/>
            <w:vAlign w:val="bottom"/>
            <w:gridSpan w:val="15"/>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BW Ultimate Parent, LLC and Subsidiaries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8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 (Unaudited)</w:t>
            </w:r>
          </w:p>
        </w:tc>
        <w:tc>
          <w:tcPr>
            <w:tcW w:w="400" w:type="dxa"/>
            <w:vAlign w:val="bottom"/>
            <w:gridSpan w:val="5"/>
          </w:tcPr>
          <w:p>
            <w:pPr>
              <w:spacing w:after="0"/>
              <w:rPr>
                <w:sz w:val="16"/>
                <w:szCs w:val="16"/>
                <w:color w:val="auto"/>
              </w:rPr>
            </w:pPr>
          </w:p>
        </w:tc>
        <w:tc>
          <w:tcPr>
            <w:tcW w:w="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Income for the three months ended March 31, 2026, and March</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31, 2025, (Unaudited)</w:t>
            </w:r>
          </w:p>
        </w:tc>
        <w:tc>
          <w:tcPr>
            <w:tcW w:w="5840" w:type="dxa"/>
            <w:vAlign w:val="bottom"/>
            <w:tcBorders>
              <w:top w:val="single" w:sz="8" w:color="0000EE"/>
            </w:tcBorders>
            <w:gridSpan w:val="16"/>
          </w:tcPr>
          <w:p>
            <w:pPr>
              <w:spacing w:after="0"/>
              <w:rPr>
                <w:sz w:val="17"/>
                <w:szCs w:val="17"/>
                <w:color w:val="auto"/>
              </w:rPr>
            </w:pPr>
          </w:p>
        </w:tc>
        <w:tc>
          <w:tcPr>
            <w:tcW w:w="240" w:type="dxa"/>
            <w:vAlign w:val="bottom"/>
            <w:gridSpan w:val="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Redeemable Senior Preferred Membership Interests</w:t>
            </w:r>
          </w:p>
        </w:tc>
        <w:tc>
          <w:tcPr>
            <w:tcW w:w="2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and Members’ Equity (Unaudited) for the three months ended March 31, 2026, and March 31, 2025,</w:t>
            </w:r>
          </w:p>
        </w:tc>
        <w:tc>
          <w:tcPr>
            <w:tcW w:w="42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800" w:type="dxa"/>
            <w:vAlign w:val="bottom"/>
            <w:gridSpan w:val="25"/>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and</w:t>
            </w:r>
          </w:p>
        </w:tc>
        <w:tc>
          <w:tcPr>
            <w:tcW w:w="44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2025, (Unaudited)</w:t>
            </w:r>
          </w:p>
        </w:tc>
        <w:tc>
          <w:tcPr>
            <w:tcW w:w="5560" w:type="dxa"/>
            <w:vAlign w:val="bottom"/>
            <w:gridSpan w:val="16"/>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2760" w:type="dxa"/>
            <w:vAlign w:val="bottom"/>
            <w:gridSpan w:val="1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40" w:type="dxa"/>
            <w:vAlign w:val="bottom"/>
            <w:gridSpan w:val="2"/>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540" w:type="dxa"/>
            <w:vAlign w:val="bottom"/>
            <w:gridSpan w:val="11"/>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40" w:type="dxa"/>
            <w:vAlign w:val="bottom"/>
            <w:gridSpan w:val="2"/>
          </w:tcPr>
          <w:p>
            <w:pPr>
              <w:spacing w:after="0"/>
              <w:rPr>
                <w:sz w:val="17"/>
                <w:szCs w:val="17"/>
                <w:color w:val="auto"/>
              </w:rPr>
            </w:pPr>
          </w:p>
        </w:tc>
        <w:tc>
          <w:tcPr>
            <w:tcW w:w="43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680" w:type="dxa"/>
            <w:vAlign w:val="bottom"/>
            <w:gridSpan w:val="14"/>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0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Part II OTHER INFORMATION</w:t>
            </w:r>
          </w:p>
        </w:tc>
        <w:tc>
          <w:tcPr>
            <w:tcW w:w="670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40" w:type="dxa"/>
            <w:vAlign w:val="bottom"/>
            <w:gridSpan w:val="2"/>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660" w:type="dxa"/>
            <w:vAlign w:val="bottom"/>
            <w:gridSpan w:val="2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1.A.</w:t>
            </w:r>
          </w:p>
        </w:tc>
        <w:tc>
          <w:tcPr>
            <w:tcW w:w="80" w:type="dxa"/>
            <w:vAlign w:val="bottom"/>
          </w:tcPr>
          <w:p>
            <w:pPr>
              <w:spacing w:after="0"/>
              <w:rPr>
                <w:sz w:val="17"/>
                <w:szCs w:val="17"/>
                <w:color w:val="auto"/>
              </w:rPr>
            </w:pPr>
          </w:p>
        </w:tc>
        <w:tc>
          <w:tcPr>
            <w:tcW w:w="80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80" w:type="dxa"/>
            <w:vAlign w:val="bottom"/>
          </w:tcPr>
          <w:p>
            <w:pPr>
              <w:spacing w:after="0"/>
              <w:rPr>
                <w:sz w:val="17"/>
                <w:szCs w:val="17"/>
                <w:color w:val="auto"/>
              </w:rPr>
            </w:pPr>
          </w:p>
        </w:tc>
        <w:tc>
          <w:tcPr>
            <w:tcW w:w="80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and Equity Securities and Use of Proceeds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40" w:type="dxa"/>
            <w:vAlign w:val="bottom"/>
            <w:tcBorders>
              <w:top w:val="single" w:sz="8" w:color="0000EE"/>
            </w:tcBorders>
          </w:tcPr>
          <w:p>
            <w:pPr>
              <w:spacing w:after="0"/>
              <w:rPr>
                <w:sz w:val="17"/>
                <w:szCs w:val="17"/>
                <w:color w:val="auto"/>
              </w:rPr>
            </w:pPr>
          </w:p>
        </w:tc>
        <w:tc>
          <w:tcPr>
            <w:tcW w:w="260" w:type="dxa"/>
            <w:vAlign w:val="bottom"/>
            <w:gridSpan w:val="3"/>
          </w:tcPr>
          <w:p>
            <w:pPr>
              <w:spacing w:after="0"/>
              <w:rPr>
                <w:sz w:val="17"/>
                <w:szCs w:val="17"/>
                <w:color w:val="auto"/>
              </w:rPr>
            </w:pPr>
          </w:p>
        </w:tc>
        <w:tc>
          <w:tcPr>
            <w:tcW w:w="44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540" w:type="dxa"/>
            <w:vAlign w:val="bottom"/>
            <w:gridSpan w:val="1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4</w:t>
            </w:r>
          </w:p>
        </w:tc>
        <w:tc>
          <w:tcPr>
            <w:tcW w:w="30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17"/>
                <w:szCs w:val="17"/>
                <w:color w:val="auto"/>
              </w:rPr>
            </w:pPr>
          </w:p>
        </w:tc>
        <w:tc>
          <w:tcPr>
            <w:tcW w:w="5680" w:type="dxa"/>
            <w:vAlign w:val="bottom"/>
            <w:gridSpan w:val="18"/>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680" w:type="dxa"/>
            <w:vAlign w:val="bottom"/>
            <w:gridSpan w:val="2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40" w:type="dxa"/>
            <w:vAlign w:val="bottom"/>
            <w:gridSpan w:val="2"/>
          </w:tcPr>
          <w:p>
            <w:pPr>
              <w:spacing w:after="0"/>
              <w:rPr>
                <w:sz w:val="17"/>
                <w:szCs w:val="17"/>
                <w:color w:val="auto"/>
              </w:rPr>
            </w:pPr>
          </w:p>
        </w:tc>
        <w:tc>
          <w:tcPr>
            <w:tcW w:w="80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SIGNATURE</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48"/>
        </w:trPr>
        <w:tc>
          <w:tcPr>
            <w:tcW w:w="3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42"/>
        </w:trPr>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Some information in this Quarterly Report on Form 10-Q (this "Quarterly Report") contains forward-looking statements that involve substantial risks and uncertainties.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Forward-looking statements contained in this Quarterly Report include, but are not limited to, statements regarding our future results of operations and financial position, industry trends, business strategy and plans, and objectives of management for future operations, including, among others, expected growth, future capital expenditures, and debt service obligations. In some cases, you can identify forward-looking statements by terms, such as “may,” “will,” “would,” “should,” “expects,” “plans,” “anticipates,” “could,” “intends,” “targets,” “projects,” “contemplates,” “believes,” “estimates,” “predicts,” “potential,” or “continue,” or the negative of these terms or other similar expressions.</w:t>
      </w:r>
    </w:p>
    <w:p>
      <w:pPr>
        <w:spacing w:after="0" w:line="16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147" w:lineRule="exact"/>
        <w:rPr>
          <w:sz w:val="20"/>
          <w:szCs w:val="20"/>
          <w:color w:val="auto"/>
        </w:rPr>
      </w:pPr>
    </w:p>
    <w:p>
      <w:pPr>
        <w:ind w:left="720" w:right="21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prices and availability of oil and petroleum products and general economic conditions that are out of our control, including interest rates;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rapid growth strategy;</w:t>
      </w:r>
    </w:p>
    <w:p>
      <w:pPr>
        <w:spacing w:after="0" w:line="9"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adequate pipeline of suitable locations for new stores and manage the risks associated with new store development;</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hire, and retain qualified personnel;</w:t>
      </w:r>
    </w:p>
    <w:p>
      <w:pPr>
        <w:spacing w:after="0" w:line="9" w:lineRule="exact"/>
        <w:rPr>
          <w:rFonts w:ascii="Times New Roman" w:cs="Times New Roman" w:eastAsia="Times New Roman" w:hAnsi="Times New Roman"/>
          <w:sz w:val="18"/>
          <w:szCs w:val="18"/>
          <w:color w:val="auto"/>
        </w:rPr>
      </w:pPr>
    </w:p>
    <w:p>
      <w:pPr>
        <w:ind w:left="720" w:right="3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market acceptance by consumers and our failure to offer products that meet our existing customers’ taste and attract new customers;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wage regulations and other employment and labor laws;</w:t>
      </w:r>
    </w:p>
    <w:p>
      <w:pPr>
        <w:spacing w:after="0" w:line="9" w:lineRule="exact"/>
        <w:rPr>
          <w:rFonts w:ascii="Times New Roman" w:cs="Times New Roman" w:eastAsia="Times New Roman" w:hAnsi="Times New Roman"/>
          <w:sz w:val="18"/>
          <w:szCs w:val="18"/>
          <w:color w:val="auto"/>
        </w:rPr>
      </w:pPr>
    </w:p>
    <w:p>
      <w:pPr>
        <w:jc w:val="both"/>
        <w:ind w:left="720" w:right="1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fuel-based modes of transportation and advancements in technologies, such as hybrid and electric vehicles, that significantly reduce fuel consumption related to the public’s current general approach with regard to climate change and the effects of greenhouse gas emissions, among others;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suppliers for the majority of our gross fuel purchases and merchandise;</w:t>
      </w:r>
    </w:p>
    <w:p>
      <w:pPr>
        <w:spacing w:after="0" w:line="9"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hazards and risks normally associated with marketing of petroleum products, as well as hazards and risks relating to the physical effects of weather and climate change;</w:t>
      </w:r>
    </w:p>
    <w:p>
      <w:pPr>
        <w:ind w:left="720" w:right="2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tobacco legislation, potential court rulings affecting the tobacco industry, campaigns to discourage smoking, increases in tobacco and nicotine products taxes, and wholesale cost increases of tobacco and nicotine products;</w:t>
      </w:r>
    </w:p>
    <w:p>
      <w:pPr>
        <w:spacing w:after="0" w:line="1" w:lineRule="exact"/>
        <w:rPr>
          <w:rFonts w:ascii="Times New Roman" w:cs="Times New Roman" w:eastAsia="Times New Roman" w:hAnsi="Times New Roman"/>
          <w:sz w:val="18"/>
          <w:szCs w:val="18"/>
          <w:color w:val="auto"/>
        </w:rPr>
      </w:pPr>
    </w:p>
    <w:p>
      <w:pPr>
        <w:ind w:left="720" w:right="3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influence that Brookwood Financial Partners, LLC continues to have over us, including control over decisions that require the approval of stockholders;</w:t>
      </w:r>
    </w:p>
    <w:p>
      <w:pPr>
        <w:ind w:left="720" w:right="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with the Continuing Equity Owners and Blocker Shareholders requires us to make cash payments to them in respect of certain tax benefits to which we may become entitled, and we expect that such payments will be substantial; and</w:t>
      </w:r>
    </w:p>
    <w:p>
      <w:pPr>
        <w:spacing w:after="0" w:line="1"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important factors discussed under “Risk Factors” in our final prospectus dated April 21, 2026, as filed with the SEC on April 23, 2026, pursuant to Rule 424(b) under the Securities Act of 1933 (the “Prospectus”) and in this Quarterly Report.</w:t>
      </w:r>
    </w:p>
    <w:p>
      <w:pPr>
        <w:spacing w:after="0" w:line="18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used in this Quarterly Report, unless the context otherwise requires:</w:t>
      </w:r>
    </w:p>
    <w:p>
      <w:pPr>
        <w:spacing w:after="0" w:line="207" w:lineRule="exact"/>
        <w:rPr>
          <w:sz w:val="20"/>
          <w:szCs w:val="20"/>
          <w:color w:val="auto"/>
        </w:rPr>
      </w:pPr>
    </w:p>
    <w:p>
      <w:pPr>
        <w:jc w:val="both"/>
        <w:ind w:left="60" w:right="59" w:hanging="10"/>
        <w:spacing w:after="0" w:line="261"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“Yesway,” and similar references refer: (1) following the consummation of the Transactions, to Yesway, Inc., and, unless otherwise stated, all of its direct and indirect subsidiaries, including Ultimate Parent, and (2) prior to the completion of the Transactions, to Ultimate Parent and, unless otherwise stated, all of its direct and indirect subsidiaries.</w:t>
      </w:r>
    </w:p>
    <w:p>
      <w:pPr>
        <w:spacing w:after="0" w:line="179" w:lineRule="exact"/>
        <w:rPr>
          <w:rFonts w:ascii="Times New Roman" w:cs="Times New Roman" w:eastAsia="Times New Roman" w:hAnsi="Times New Roman"/>
          <w:sz w:val="18"/>
          <w:szCs w:val="18"/>
          <w:color w:val="auto"/>
        </w:rPr>
      </w:pPr>
    </w:p>
    <w:p>
      <w:pPr>
        <w:ind w:left="60" w:right="59" w:hanging="10"/>
        <w:spacing w:after="0" w:line="282"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Companies” refers to entities affiliated with Brookwood that were owners of LLC Interests in Ultimate Parent prior to the Transactions and are taxable as corporations for U.S. federal income tax purposes.</w:t>
      </w:r>
    </w:p>
    <w:p>
      <w:pPr>
        <w:spacing w:after="0" w:line="161" w:lineRule="exact"/>
        <w:rPr>
          <w:rFonts w:ascii="Times New Roman" w:cs="Times New Roman" w:eastAsia="Times New Roman" w:hAnsi="Times New Roman"/>
          <w:sz w:val="18"/>
          <w:szCs w:val="18"/>
          <w:color w:val="auto"/>
        </w:rPr>
      </w:pPr>
    </w:p>
    <w:p>
      <w:pPr>
        <w:jc w:val="both"/>
        <w:ind w:left="60" w:right="79" w:hanging="10"/>
        <w:spacing w:after="0" w:line="261"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Shareholders” refers to entities affiliated with Brookwood, which entities were also the owners of the Blocker Companies prior to the Transactions and, exchanged their interests in the Blocker Companies for shares of our Class A common stock and rights under the Tax Receivable Agreement in connection with the consummation of the Transactions.</w:t>
      </w:r>
    </w:p>
    <w:p>
      <w:pPr>
        <w:spacing w:after="0" w:line="179"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“Brookwood” refers to our sponsor Brookwood Financial Partners, LLC, a Delaware limited liability company, certain funds affiliated with Brookwood Financial Partners, LLC and other entities over which Brookwood Financial Partners, LLC has voting control (including any such fund or entity formed to hold shares of Class A common stock for the Blocker Shareholders).</w:t>
      </w:r>
    </w:p>
    <w:p>
      <w:pPr>
        <w:spacing w:after="0" w:line="179"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“Brookwood Holders” refers to the entities designated as Brookwood Holders on the Schedule of Holders to the Registration Rights Agreement between the Company and such entities (the “Brookwood Members”), together with any Affiliate of the Brookwood Members, any of its Affiliate Transferees and any Affiliate Transferee of any of the foregoing.</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Equity Owners” refers collectively to holders of LLC Interests and our Class B common stock (which include Brookwood and each of our executive officers, and their respective permitted transferees) who may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(as determined solely by a majority of our independent directors (within the meaning of the rules of the Nasdaq Stock Market) who are disinterested), cash or newly issued shares of our Class A common stock.</w:t>
      </w:r>
    </w:p>
    <w:p>
      <w:pPr>
        <w:spacing w:after="0" w:line="188" w:lineRule="exact"/>
        <w:rPr>
          <w:rFonts w:ascii="Times New Roman" w:cs="Times New Roman" w:eastAsia="Times New Roman" w:hAnsi="Times New Roman"/>
          <w:sz w:val="18"/>
          <w:szCs w:val="18"/>
          <w:color w:val="auto"/>
        </w:rPr>
      </w:pPr>
    </w:p>
    <w:p>
      <w:pPr>
        <w:ind w:left="60" w:right="59" w:hanging="10"/>
        <w:spacing w:after="0" w:line="282"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Payment” refers to our payment of $18.4 million to certain Continuing Equity Owners in connection with the IPO to satisfy certain contractual obligations of such entities.</w:t>
      </w:r>
    </w:p>
    <w:p>
      <w:pPr>
        <w:spacing w:after="0" w:line="161"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the initial public offering by Yesway, Inc. that was closed on April, 23, 2026.</w:t>
      </w:r>
    </w:p>
    <w:p>
      <w:pPr>
        <w:spacing w:after="0" w:line="225" w:lineRule="exact"/>
        <w:rPr>
          <w:rFonts w:ascii="Times New Roman" w:cs="Times New Roman" w:eastAsia="Times New Roman" w:hAnsi="Times New Roman"/>
          <w:sz w:val="18"/>
          <w:szCs w:val="18"/>
          <w:color w:val="auto"/>
        </w:rPr>
      </w:pPr>
    </w:p>
    <w:p>
      <w:pPr>
        <w:ind w:left="60" w:right="59" w:hanging="10"/>
        <w:spacing w:after="0" w:line="282"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refers to the common units of Ultimate Parent, including those that we purchased with a portion of the net proceeds from the IPO.</w:t>
      </w:r>
    </w:p>
    <w:p>
      <w:pPr>
        <w:spacing w:after="0" w:line="161"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 Parent” refers to BW Ultimate Parent, LLC.</w:t>
      </w:r>
    </w:p>
    <w:p>
      <w:pPr>
        <w:spacing w:after="0" w:line="225"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“Redeemable Senior Preferred Membership Interests” refers to the 150,000 redeemable, non-convertible, non-exchangeable senior preferred membership interests in Ultimate Parent issued and sold by Ultimate Parent to certain purchasers in December 2022 at a price of $980.00 per interest for gross proceeds of $147.0 million, which were redeemed in full in connection with the closing of our IPO.</w:t>
      </w:r>
    </w:p>
    <w:p>
      <w:pPr>
        <w:spacing w:after="0" w:line="179"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refer to certain organizational transactions the Company underwent in connection with the IPO.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239"/>
        <w:spacing w:after="0" w:line="276" w:lineRule="auto"/>
        <w:rPr>
          <w:sz w:val="20"/>
          <w:szCs w:val="20"/>
          <w:color w:val="auto"/>
        </w:rPr>
      </w:pPr>
      <w:r>
        <w:rPr>
          <w:rFonts w:ascii="Times New Roman" w:cs="Times New Roman" w:eastAsia="Times New Roman" w:hAnsi="Times New Roman"/>
          <w:sz w:val="17"/>
          <w:szCs w:val="17"/>
          <w:color w:val="auto"/>
        </w:rPr>
        <w:t>This Quarterly Report presents (i) the historical condensed consolidated financial information and data as of March 31, 2026, and December 31, 2025, and for the three months ended March 31, 2026, and March 31, 2025, of Yesway, Inc. and</w:t>
      </w:r>
    </w:p>
    <w:p>
      <w:pPr>
        <w:spacing w:after="0" w:line="1" w:lineRule="exact"/>
        <w:rPr>
          <w:sz w:val="20"/>
          <w:szCs w:val="20"/>
          <w:color w:val="auto"/>
        </w:rPr>
      </w:pPr>
    </w:p>
    <w:p>
      <w:pPr>
        <w:ind w:left="60" w:right="359" w:hanging="10"/>
        <w:spacing w:after="0" w:line="260" w:lineRule="auto"/>
        <w:tabs>
          <w:tab w:leader="none" w:pos="3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condensed consolidated financial information and data as of March 31, 2026, and December 31, 2025, and for the three months ended March 31, 2026, and March 31, 2025, for BW Ultimate Parent, LLC.</w:t>
      </w:r>
    </w:p>
    <w:p>
      <w:pPr>
        <w:spacing w:after="0" w:line="181"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Yesway, Inc. was incorporated in Delaware on April 23, 2021 to be the issuer for our IPO. All of our business operations are currently, and have historically been, conducted through Ultimate Parent and its subsidiaries.</w:t>
      </w:r>
    </w:p>
    <w:p>
      <w:pPr>
        <w:spacing w:after="0" w:line="162"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As a result of the Transactions, which occurred in connection with the IPO, Yesway, Inc. consolidates Ultimate Parent. Accordingly, in future periodic reports, we will present the historical condensed consolidated financial information and data of Yesway, Inc., which will include the financial information and data of Ultimate Parent.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8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 March 31, 2026  </w:t>
            </w: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CCEEFF"/>
            </w:tcBorders>
            <w:gridSpan w:val="2"/>
          </w:tcPr>
          <w:p>
            <w:pPr>
              <w:spacing w:after="0"/>
              <w:rPr>
                <w:sz w:val="21"/>
                <w:szCs w:val="21"/>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 100 shares authorized, issued, and outstanding</w:t>
            </w:r>
          </w:p>
        </w:tc>
        <w:tc>
          <w:tcPr>
            <w:tcW w:w="6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205,418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gridSpan w:val="2"/>
          </w:tcPr>
          <w:p>
            <w:pPr>
              <w:spacing w:after="0"/>
              <w:rPr>
                <w:sz w:val="18"/>
                <w:szCs w:val="18"/>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4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attributable to common stockholder - basic and diluted</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(475.46)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Borders>
              <w:bottom w:val="single" w:sz="8" w:color="auto"/>
            </w:tcBorders>
            <w:gridSpan w:val="8"/>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80" w:type="dxa"/>
            <w:vAlign w:val="bottom"/>
          </w:tcPr>
          <w:p>
            <w:pPr>
              <w:ind w:left="1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8"/>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c>
          <w:tcPr>
            <w:tcW w:w="780" w:type="dxa"/>
            <w:vAlign w:val="bottom"/>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 Capital</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8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$ 78,419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98"/>
              </w:rPr>
              <w:t>$ (78,419)</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w:t>
            </w:r>
          </w:p>
        </w:tc>
        <w:tc>
          <w:tcPr>
            <w:tcW w:w="12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$ 78,701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gridSpan w:val="8"/>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gridSpan w:val="8"/>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80" w:type="dxa"/>
            <w:vAlign w:val="bottom"/>
          </w:tcPr>
          <w:p>
            <w:pPr>
              <w:ind w:left="1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gridSpan w:val="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00" w:type="dxa"/>
            <w:vAlign w:val="bottom"/>
          </w:tcPr>
          <w:p>
            <w:pPr>
              <w:spacing w:after="0"/>
              <w:rPr>
                <w:sz w:val="12"/>
                <w:szCs w:val="12"/>
                <w:color w:val="auto"/>
              </w:rPr>
            </w:pPr>
          </w:p>
        </w:tc>
        <w:tc>
          <w:tcPr>
            <w:tcW w:w="840" w:type="dxa"/>
            <w:vAlign w:val="bottom"/>
            <w:gridSpan w:val="4"/>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  Capital</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8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$ 157,872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(157,872)</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contribution</w:t>
            </w:r>
          </w:p>
        </w:tc>
        <w:tc>
          <w:tcPr>
            <w:tcW w:w="12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28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18"/>
                <w:szCs w:val="18"/>
                <w:color w:val="auto"/>
              </w:rPr>
            </w:pPr>
          </w:p>
        </w:tc>
        <w:tc>
          <w:tcPr>
            <w:tcW w:w="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205,418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(205,418)</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4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contribution</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47,546</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at Beginning of Year</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0"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Yesway, Inc. (the “Company”) was incorporated in Delaware on April 23, 2021. Pursuant to a reorganization into a holding company structure, the Company is a holding company, and its principal asset is a controlling equity interest in BW Ultimate Parent, LLC (“Ultimate Parent”) as of the closing of its initial public offering (the “IPO”). As the sole managing member of Ultimate Parent, the Company will operate and control all of the business and affairs of Ultimate Parent and, through Ultimate Parent and its subsidiaries, conduct its business. The accompanying unaudited condensed financial statements and notes are as of March 31, 2026, and do not reflect the reorganization of the Company which occurred pursuant to the IPO as described in Note 8 – Subsequent Events.</w:t>
      </w:r>
    </w:p>
    <w:p>
      <w:pPr>
        <w:spacing w:after="0" w:line="185"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pursuant to the rules and regulations of the Securities and Exchange Commission and in accordance with accounting principles generally accepted in the United States of America (“US GAAP”) as found in the Accounting Standards Codification (“ASC”) and Accounting Standards Update (“ASU”) of the Financial Accounting Standards Board (“FASB”). Certain information and footnote disclosures normally included in financial statements prepared in accordance with U.S. GAAP have been condensed or omitted pursuant to such rules and regulations and should be read in conjunction with the Company’s latest audited annual financial statements.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opinion of the Company, the accompanying unaudited financial statements contain all adjustments, consisting of only normal recurring adjustments, necessary for a fair statement of its financial position as of March 31, 2026, and December 31, 2025, and its results of operations for the three months ended March 31, 2026, and March 31, 2025, and cash flows for the three months ended March 31, 2026, and March 31, 2025.</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Based on the Company’s expense sharing arrangement with Ultimate Parent (see Note 6), the funds provided under that arrangement will be sufficient to fund anticipated operating expenses for at least twelve months from the date on which the financial statements were available for issuance.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cash was cash on hand and is carried in the financial statements at amounts which approximates its fair value.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applicable to common stockholder by the weighted-average number of common shares outstanding during the period. Diluted net loss per common share is calculated by increasing the denominator by the weighted-average number of additional shares that could have been outstanding from securities convertible into common stock, such as stock options, unless their effect on net loss per share is antidilutive.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treated as a subchapter C corporation and, therefore, is subject to both federal and state income taxes.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Ultimate Parent continues to be recognized as a limited liability company, a pass-through entity for income tax purposes.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had no income tax expense due to operating losses incurred since inception. ASC 740 requires a valuation allowance to reduce the deferred tax assets reported if, based on the weight of the evidence, it is more-likely-than-not that some portion or all the deferred tax assets will not be realized. The Company has evaluated the positive and negative evidence bearing upon the realizability of its deferred tax assets. Based on this, the Company has provided a valuation allowance for the full amount of the net deferred tax assets as the realization of the deferred tax assets is not determined to be more likely than not.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follows the provisions of ASC 740-10, Accounting for Uncertainty in Income Taxes, which specifies how tax benefits for uncertain tax positions are to be recognized, measured, and recorded in financial statements; requires certain disclosures of uncertain tax matters; specifies how reserves for uncertain tax positions should be classified on the balance sheet; and provides transition and interim period guidance, among other provisions. As of March 31, 2026, and December 31, 2025, the Company has not recorded tax reserves associated with any unrecognized tax benefits. The Company’s policy is to recognize interest and penalties accrued on any uncertain tax positions as a component of income tax expense, if any, in its statements of income. As of March 31, 2026, and December 31, 2025, the Company had no reserves for uncertain tax positions.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federal income tax returns for the years ended December 31, 2022, to December 31, 2025, remain open and are subject to examination by the Internal Revenue Service and state taxing authorities.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 During the Current Year</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The standard relates to estimating credit losses under CECL for current accounts receivable and current contract assets arising from revenue transactions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including those acquired in a transaction accounted for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standard does not apply to other types of accounts receivable and loans. The standard provides a practical expedient to assume that current conditions as of the balance sheet date will persist through the reasonable and supportable forecast period for eligible assets. Entities will still be required to adjust historical data used in the estimation to reflect current conditions. If elected, the practical expedient must be applied consistently to all eligible current accounts receivable and current contract assets. The Company adopted this standard on January 1, 2026, on a prospective basis. There was no impact on the Company’s financial statements or footnote disclosures as a result of adopting the practical expedient.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2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The standard clarifies interim disclosure requirements and requires entities to disclose events since the end of the last annual reporting period that have had a material impact on the entity. The new guidance will be effective for interim reporting periods within annual reporting periods beginning after December 15, 2027, and is to be adopted on a prospective basis. Early adoption is permitted and may be applied either prospectively or retrospectively. The Company is currently evaluating ASU 2025-11 to determine its impact on financial and footnote disclosures.</w:t>
      </w:r>
    </w:p>
    <w:p>
      <w:pPr>
        <w:spacing w:after="0" w:line="18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The standard is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and research and development). The amendments will require public entities or private companies that are in the process of going public to disclose specific types of expenses included in the expense captions presented on the face of the income statement, as well as disclosures about selling expenses. The new standard is effective for the Company’s annual periods beginning January 1, 2027, and interim periods within fiscal years beginning after December 15, 2027. Early adoption is permitted. The Company is currently evaluating this standard to determine its impact on the financial statements and footnote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0"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the U.S. statutory rate to the effective tax rate is as follows: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4"/>
                <w:szCs w:val="14"/>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gridSpan w:val="2"/>
          </w:tcPr>
          <w:p>
            <w:pPr>
              <w:spacing w:after="0"/>
              <w:rPr>
                <w:sz w:val="14"/>
                <w:szCs w:val="14"/>
                <w:color w:val="auto"/>
              </w:rPr>
            </w:pPr>
          </w:p>
        </w:tc>
        <w:tc>
          <w:tcPr>
            <w:tcW w:w="8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Amount   ​​​</w:t>
            </w: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(21.0)%</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9,985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21.0 %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income tax assets consisted of:</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8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gridSpan w:val="7"/>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15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start-up costs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43,138</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43,138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(43,138)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spacing w:after="0"/>
              <w:rPr>
                <w:sz w:val="18"/>
                <w:szCs w:val="18"/>
                <w:color w:val="auto"/>
              </w:rPr>
            </w:pPr>
          </w:p>
        </w:tc>
        <w:tc>
          <w:tcPr>
            <w:tcW w:w="360" w:type="dxa"/>
            <w:vAlign w:val="bottom"/>
          </w:tcPr>
          <w:p>
            <w:pPr>
              <w:jc w:val="right"/>
              <w:ind w:right="23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of March 31, 2026, the authorized capital stock included 100 shares of common stock, $0.01 par value. On April 23, 2021, the Company issued 100 shares of common stock for one dollar, all of which were acquired by an affiliate.</w:t>
      </w:r>
    </w:p>
    <w:p>
      <w:pPr>
        <w:spacing w:after="0" w:line="374"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stock options, unvested restricted stock, and unvested performance stock units are considered to be common stock equivalents. There were no such instruments outstanding. As a result, diluted net loss per share is equal to basic net loss per share.</w:t>
      </w:r>
    </w:p>
    <w:p>
      <w:pPr>
        <w:spacing w:after="0" w:line="388"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entered into an expense sharing agreement with Ultimate Parent whereby Ultimate Parent has agreed to pay for general and administrative expenses of the Company. During the three months ended March 31, 2026, and March 31, 2025, Ultimate Parent incurred the Company’s audit, tax compliance expenses, and bank fees in the aggregate amount of $47,546 and $282, respectively. The Company recorded general and administrative expenses in the accompanying statements of operations and additional paid in capital in the accompanying statements of stockholder’s equity for these constructive cash receipts and capital contributions.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2026, the Company’s sole stockholder served as a manager of Ultimate Parent’s Board of Managers.</w:t>
      </w:r>
    </w:p>
    <w:p>
      <w:pPr>
        <w:spacing w:after="0" w:line="200" w:lineRule="exact"/>
        <w:rPr>
          <w:sz w:val="20"/>
          <w:szCs w:val="20"/>
          <w:color w:val="auto"/>
        </w:rPr>
      </w:pPr>
    </w:p>
    <w:p>
      <w:pPr>
        <w:spacing w:after="0" w:line="237"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(CODM) is the Chairman and Chief Executive Officer. The CODM reviews the operating results for the Company as a whole to make decisions about allocating resources and assessing financial performance. Accordingly, management has determined that the Company only has one operating segment. The CODM evaluates performance using net income or loss, as reported in the Company’s accompanying statements of operations to manage the business. The CODM also reviews significant expenses, which are consistent with those reported on the statements of operations. The measure of segment assets is reported on the balance sheets as total assets.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0"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and Ultimate Parent completed a series of transactions (“Transactions”), including the following:</w:t>
      </w:r>
    </w:p>
    <w:p>
      <w:pPr>
        <w:spacing w:after="0" w:line="198" w:lineRule="exact"/>
        <w:rPr>
          <w:sz w:val="20"/>
          <w:szCs w:val="20"/>
          <w:color w:val="auto"/>
        </w:rPr>
      </w:pPr>
    </w:p>
    <w:p>
      <w:pPr>
        <w:jc w:val="both"/>
        <w:ind w:left="720" w:right="7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certificate of incorporation was amended and restated to, among other things, (i) create a class of common stock designated as Class A common stock with voting and economic rights, (ii) reclassify the existing shares of common stock into shares of Class A common stock, and (iii) create a class of common stock designated as Class B common stock, with voting rights but no economic rights.</w:t>
      </w:r>
    </w:p>
    <w:p>
      <w:pPr>
        <w:spacing w:after="0" w:line="166"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the Blocker Companies (the “Blocker Mergers”) and issued to the Blocker Shareholders 15,085,561 shares of Class A common stock of the Company, and the Blocker Companies merged with and into Yesway, Inc.’s wholly owned merger subsidiaries, with Yesway, Inc.’s merger subsidiaries surviving;</w:t>
      </w:r>
    </w:p>
    <w:p>
      <w:pPr>
        <w:spacing w:after="0" w:line="16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32,009,185 shares of Class B common stock to the continuing equity owners of Ultimate Parent (the “Continuing Equity Owners”), which is equal to the number of LLC Interests held directly or indirectly by such Continuing Equity Owners immediately prior to the IPO; and</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Parent limited liability agreement was amended and restated to, among other things, (i) recapitalize all existing ownership interests in the Ultimate Parent into a single class of common units (“LLC Interests”), (ii) exchange all of the then existing membership interests of the holders of Ultimate Parent into LLC Interests, and (iii) appoint the Company as the sole managing member of Ultimate Parent upon its acquisition of LLC Interests.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IPO</w:t>
      </w:r>
    </w:p>
    <w:p>
      <w:pPr>
        <w:spacing w:after="0" w:line="21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23, 2026, the Company completed an initial public offering by issuing 14,000,000 shares of Class A common stock (as defined below) at a price to the public of $20.00 per share. On April 27, 2026, the Company completed the sale of 2,100,000 shares of Class A common stock following the underwriters’ exercise in full of their overallotment option. From the IPO, including the exercise of the underwriters’ overallotment option, the Company received $301,070,000 in proceeds, net of underwriting discounts and commissions, which was used to purchase an aggregate of 16,100,000 LLC Interests of Ultimate Parent and Ultimate Parent utilized $251,523,545 of the net proceeds it received from the sale of LLC Interests to the Company to fully redeem the Redeemable Senior Preferred Membership Interests and additionally made a payment of $20,000,000 on its Revolving Credit Facility.</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w:t>
      </w:r>
    </w:p>
    <w:p>
      <w:pPr>
        <w:spacing w:after="0" w:line="21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(which was filed with the Secretary of State of the State of Delaware on April 21, 2026) provides for among other things, the (i) authorization of 500,000,000 shares of Class A common stock, with a par value of $0.0001 per share (“Class A common stock”); (ii) authorization of 150,000,000 shares of Class B common stock, with a par value of $0.0001 per share (“Class B common stock”); (iii) authorization of 10,000,000 shares of preferred stock, with a par value of $0.0001 per share (“Preferred Stock”) that may be issued from time to time by the Company’s Board of Directors in one or more series; and (iv) establishment of a classified board of directors, divided into three classes, each of whose members will serve for staggered terms.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Holders of Class A common stock and Class B common stock are entitled to one vote per share and, except as otherwise required, will vote together as a single class on all matters which stockholders generally are entitled to vote. Holders of Class B common stock are not entitled to receive dividends and will not be entitled to receive any distributions in excess of par value upon the liquidation, dissolution, or winding up of the Company. Shares of Class B common stock may only be issued to the extent necessary to maintain the one-to-one ratio between the number of LLC Interests held by existing LLC Interest owners and their permitted transferees and the number of shares of Class B common stock held by existing LLC Interest owners and their permitted transferees. Shares of Class B common stock will be canceled on a one-for-one basis if an existing LLC Interest owner elects to redeem their LLC Interests in exchange for, at the Company’s election, newly issued shares of Class A common stock or cash.</w:t>
      </w:r>
    </w:p>
    <w:p>
      <w:pPr>
        <w:spacing w:after="0" w:line="17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must, at all times, maintain a one-to-one ratio between the number of shares of Class A common stock issued by the Company and the number of LLC Interests owned by the Company (subject to certain exceptions for treasury shares and shares underlying certain convertible or exchangeable securities).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IPO, Yesway, Inc. entered into a Tax Receivable Agreement (the “TRA”) with the Ultimate Parent, the Continuing Equity Owners and the Blocker Shareholders (together with the Continuing Equity Owners, the “TRA Participants”), pursuant to which Yesway, Inc. is obligated to pay the TRA Participants 85% of certain tax benefits, if any, in U.S. federal, state, and local income tax that Yesway, Inc. realizes (or, in some circumstances, is deemed to realize) as a result of (1) Yesway, Inc.’s allocable share of the existing tax basis of Ultimate Parent’s assets, which tax basis was attributable to the LLC Interests acquired in connection with the IPO and Blocker Mergers; (2) increases in Yesway, Inc.’s allocable share of the tax basis of Ultimate Parent’s assets resulting from (a) future redemptions or exchanges of LLC Interests for Class A common stock or cash and (b) certain distributions (or deemed distributions) by Ultimate Parent;</w:t>
      </w:r>
    </w:p>
    <w:p>
      <w:pPr>
        <w:spacing w:after="0" w:line="1" w:lineRule="exact"/>
        <w:rPr>
          <w:sz w:val="20"/>
          <w:szCs w:val="20"/>
          <w:color w:val="auto"/>
        </w:rPr>
      </w:pPr>
    </w:p>
    <w:p>
      <w:pPr>
        <w:jc w:val="both"/>
        <w:ind w:left="60" w:right="59" w:hanging="10"/>
        <w:spacing w:after="0" w:line="250" w:lineRule="auto"/>
        <w:tabs>
          <w:tab w:leader="none" w:pos="3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Yesway, Inc.’s allocable share of the existing tax basis of Ultimate Parent’s assets at the time of any redemption or exchange of LLC Interests, which tax basis is attributable to the LLC Interests being redeemed or exchanged and acquired by Yesway, Inc.; (4) certain tax attributes of the Blocker Companies acquired by Yesway, Inc. in the Blocker Mergers; and</w:t>
      </w:r>
    </w:p>
    <w:p>
      <w:pPr>
        <w:spacing w:after="0" w:line="1"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additional tax benefits arising from payments made under the Tax Receivable Agreement.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2026 Equity Incentive Plan</w:t>
      </w:r>
    </w:p>
    <w:p>
      <w:pPr>
        <w:spacing w:after="0" w:line="20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IPO, Yesway, Inc. adopted the 2026 Incentive Award Plan (the “2026 Plan”). The 2026 Plan provides for the issuance of up to 7,331,369 shares of Class A common stock for equity-based awards, as adjusted in accordance with the terms of the plan, and includes an annual increase on January 1 of each calender year beginning January 1, 2027, and ending on and including January 1, 2036, equal to the lesser of (i) 4% of the aggregate number of shares of Class A common stock and Class B common stock outstanding (on an as-converted basis) on the final day of the immediately preceding calendar year and (ii) such smaller number of Shares as determined by the board of directors.</w:t>
      </w:r>
    </w:p>
    <w:p>
      <w:pPr>
        <w:spacing w:after="0" w:line="17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2026 Plan permits the grant of stock options, stock appreciation rights, restricted stock, restricted stock units, and other stock-based awards to eligible employees, officers, non-employee directors and other service providers of Yesway, Inc. and its subsidiaries. The 2026 Plan is administered by the Yesway, Inc.’s board of directors or a committee thereof and provides for customary limitations, including an annual compensation limit applicable to non-employee directors.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granted 3,628,000 time-based and market-based restricted stock units (“RSUs”) to certain of its directors and officers at the IPO grant date fair value of $20.00 per share with an aggregate fair value of $72,560,000 vesting over one to three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IPO, the Company entered into a Registration Rights Agreement (“RRA”) with certain of the Continuing Equity Owners, including the Brookwood Holders. The RRA provides that the Company will, upon request by the Brookwood Holders following the Company's eligibility to file on Form S-3, use its reasonable best efforts to file a shelf registration statement on Form S-3 and cause it to become effective. The RRA also provides the Brookwood Holders the right to initiate demand registrations (subject to a $50.0 million minimum anticipated net aggregate offering price) and underwritten shelf take-downs (subject to the same minimum for marketed offerings and a $15.0 million minimum for non-marketed offerings). In addition, the RRA provides for customary “piggyback” registration rights.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IPO, the Company entered into a Stockholders Agreement (“Stockholders Agreement”) with the Brookwood Parties (as defined in the Stockholders Agreement). Pursuant to the Stockholders Agreement, the Brookwood Parties are entitled to nominate a specified number of up to four directors to the Company’s Board of Directors, so long as the Brookwood Parties beneficially own shares of voting stock representing, in the aggregate, a certain percentage of our then outstanding stock. The Stockholders Agreement also provides that, until the Brookwood Parties no longer beneficially own shares of voting stock representing, in the aggregate, at least 20% of the voting power of our then-outstanding voting stock, certain significant corporate actions taken by the Company or its subsidiaries will require the prior written consent of the Brookwood Parties.</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Brookwood Parties directly and indirectly owns 72.6% of the economic and voting interests in Ultimate Parent. Accordingly, the Company will consolidate the financial results of Ultimate Parent and report a non-controlling interest in the Company’s consolidated financial statements related to the interest held by the existing Ultimate Parent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 Ultimate Parent,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6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 March 31, 2026  </w:t>
            </w: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56,472</w:t>
            </w:r>
          </w:p>
        </w:tc>
        <w:tc>
          <w:tcPr>
            <w:tcW w:w="48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$138 and $147 as of March 31, 2026,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32,213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December 31, 2025, respectively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88,282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18,500</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200,650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860,351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868,559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280,946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277,996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338,635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16,599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11,692</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1,988,771</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1,949,174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senior preferred membership interests, and members’ equity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maturities of debt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Current maturities of financing obligations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maturities of operating lease liabilities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Current maturities of finance lease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98,805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41,961</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152,514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Debt, net of current maturities, debt discount, and debt issuance costs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418,163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obligations, net of current maturities, debt discount, and debt issuance costs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223,002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maturities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323,080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liabilities, net of current maturities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10,272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10,981</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1,141,596</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1,126,377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senior preferred membership interests (150,000 shares authorized and outstanding,</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redemption value of $249,287 and $239,628 and liquidation preference amount of $249,287 and</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249,287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$239,628 as of March 31, 2026, and December 31, 2025, respectively)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Members’ capital</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596,789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582,070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1,099</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597,888</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senior preferred membership interests, equity, and members’ equity</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1,988,771</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1,949,174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Condensed Consolidated Statements of Income (Unaudited)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2540</wp:posOffset>
            </wp:positionV>
            <wp:extent cx="5657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gridSpan w:val="2"/>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24"/>
                <w:szCs w:val="24"/>
                <w:b w:val="1"/>
                <w:bCs w:val="1"/>
                <w:color w:val="auto"/>
                <w:vertAlign w:val="superscript"/>
              </w:rPr>
              <w:t>(a)</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683,630</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Cost of goods sold (exclusive of depreciation and amortization, shown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80" w:type="dxa"/>
            <w:vAlign w:val="bottom"/>
            <w:gridSpan w:val="2"/>
          </w:tcPr>
          <w:p>
            <w:pPr>
              <w:spacing w:after="0" w:line="242" w:lineRule="exact"/>
              <w:rPr>
                <w:sz w:val="20"/>
                <w:szCs w:val="20"/>
                <w:color w:val="auto"/>
              </w:rPr>
            </w:pPr>
            <w:r>
              <w:rPr>
                <w:rFonts w:ascii="Times New Roman" w:cs="Times New Roman" w:eastAsia="Times New Roman" w:hAnsi="Times New Roman"/>
                <w:sz w:val="18"/>
                <w:szCs w:val="18"/>
                <w:color w:val="auto"/>
              </w:rPr>
              <w:t xml:space="preserve">separately below) </w:t>
            </w:r>
            <w:r>
              <w:rPr>
                <w:rFonts w:ascii="Times New Roman" w:cs="Times New Roman" w:eastAsia="Times New Roman" w:hAnsi="Times New Roman"/>
                <w:sz w:val="26"/>
                <w:szCs w:val="26"/>
                <w:color w:val="auto"/>
                <w:vertAlign w:val="superscript"/>
              </w:rPr>
              <w:t>(a)</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529,215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46,357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641,186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42,444</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BW Ultimate Parent, LLC</w:t>
            </w:r>
          </w:p>
        </w:tc>
        <w:tc>
          <w:tcPr>
            <w:tcW w:w="5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5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(a) Includes excise taxes of approximately:</w:t>
            </w:r>
          </w:p>
        </w:tc>
        <w:tc>
          <w:tcPr>
            <w:tcW w:w="580" w:type="dxa"/>
            <w:vAlign w:val="bottom"/>
            <w:gridSpan w:val="2"/>
            <w:vMerge w:val="restart"/>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58,973</w:t>
            </w:r>
          </w:p>
        </w:tc>
        <w:tc>
          <w:tcPr>
            <w:tcW w:w="5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54,317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BW Ultimate Parent,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Senior Preferred Membership Interests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Members’ Equity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Senior Preferred</w:t>
            </w:r>
          </w:p>
        </w:tc>
        <w:tc>
          <w:tcPr>
            <w:tcW w:w="6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Members’</w:t>
            </w:r>
          </w:p>
        </w:tc>
        <w:tc>
          <w:tcPr>
            <w:tcW w:w="0" w:type="dxa"/>
            <w:vAlign w:val="bottom"/>
          </w:tcPr>
          <w:p>
            <w:pPr>
              <w:spacing w:after="0"/>
              <w:rPr>
                <w:sz w:val="1"/>
                <w:szCs w:val="1"/>
                <w:color w:val="auto"/>
              </w:rPr>
            </w:pPr>
          </w:p>
        </w:tc>
      </w:tr>
      <w:tr>
        <w:trPr>
          <w:trHeight w:val="173"/>
        </w:trPr>
        <w:tc>
          <w:tcPr>
            <w:tcW w:w="3920" w:type="dxa"/>
            <w:vAlign w:val="bottom"/>
            <w:gridSpan w:val="2"/>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Membership Interests</w:t>
            </w:r>
          </w:p>
        </w:tc>
        <w:tc>
          <w:tcPr>
            <w:tcW w:w="6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$ 573,654</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574,730</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$ 557,259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558,309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20" w:type="dxa"/>
            <w:vAlign w:val="bottom"/>
          </w:tcPr>
          <w:p>
            <w:pPr>
              <w:spacing w:after="0"/>
              <w:rPr>
                <w:sz w:val="24"/>
                <w:szCs w:val="24"/>
                <w:color w:val="auto"/>
              </w:rPr>
            </w:pP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Senior Preferred</w:t>
            </w:r>
          </w:p>
        </w:tc>
        <w:tc>
          <w:tcPr>
            <w:tcW w:w="60" w:type="dxa"/>
            <w:vAlign w:val="bottom"/>
          </w:tcPr>
          <w:p>
            <w:pPr>
              <w:spacing w:after="0"/>
              <w:rPr>
                <w:sz w:val="24"/>
                <w:szCs w:val="24"/>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Members’</w:t>
            </w:r>
          </w:p>
        </w:tc>
        <w:tc>
          <w:tcPr>
            <w:tcW w:w="0" w:type="dxa"/>
            <w:vAlign w:val="bottom"/>
          </w:tcPr>
          <w:p>
            <w:pPr>
              <w:spacing w:after="0"/>
              <w:rPr>
                <w:sz w:val="1"/>
                <w:szCs w:val="1"/>
                <w:color w:val="auto"/>
              </w:rPr>
            </w:pPr>
          </w:p>
        </w:tc>
      </w:tr>
      <w:tr>
        <w:trPr>
          <w:trHeight w:val="173"/>
        </w:trPr>
        <w:tc>
          <w:tcPr>
            <w:tcW w:w="3920" w:type="dxa"/>
            <w:vAlign w:val="bottom"/>
            <w:gridSpan w:val="2"/>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Membership Interests</w:t>
            </w:r>
          </w:p>
        </w:tc>
        <w:tc>
          <w:tcPr>
            <w:tcW w:w="6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$ 582,070</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583,169</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(10,402)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(10,402)</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$ 596,789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597,888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-2185670</wp:posOffset>
            </wp:positionV>
            <wp:extent cx="8255" cy="2168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2168525"/>
                    </a:xfrm>
                    <a:prstGeom prst="rect">
                      <a:avLst/>
                    </a:prstGeom>
                    <a:noFill/>
                  </pic:spPr>
                </pic:pic>
              </a:graphicData>
            </a:graphic>
          </wp:anchor>
        </w:drawing>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Condensed Consolidated Statements of Cash Flows (Unaudited)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2540</wp:posOffset>
            </wp:positionV>
            <wp:extent cx="5657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4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amortization, accretion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deferred financing cost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3"/>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receivables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assets - BTS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assets - Other</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 payable - Fuel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 payable - Other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48,353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3"/>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revolver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revolver</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borrowings from term loan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financing obligation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financing obligation with lessors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financing leases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redeemable senior preferred membership interests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56,472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Condensed Consolidated Statements of Cash Flows (Unaudited)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2540</wp:posOffset>
            </wp:positionV>
            <wp:extent cx="56578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11,807</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Fixed asset purchases in Accounts payable - Other</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4,108</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 purchases in Accrued expenses and other current liabilities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acquired by assumption of operating leases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9,024</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lease liabilities and Right-of-use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 capitalized in fixed assets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senior preferred membership interests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10,402</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BW Ultimate Parent, LLC and its subsidiaries (the “Company”) operates 449 convenience stores in nine states. The Company’s convenience stores offer a broad selection of merchandise, fuel, and other products and services designed to appeal to the convenience needs of the Company’s customers. Since inception, the Company has grown through acquisition and construction of new stores. The Company has funded its operations, acquisitions, and construction costs primarily with proceeds from funds raised by the Company and its members, the issuance of redeemable senior preferred membership interests, financing from build-to-suit landlords, as well as credit facilities from its banks. The Company believes that its existing cash and cash equivalents, availability under its revolving line of credit, and cash flow from operations will be sufficient to fund its operations for at least one year from the issuance date of these accompanying unaudited Condensed Consolidated Financial Statements. The accompanying unaudited condensed financial statements and notes are as of March 31, 2026, and do not reflect the reorganization of the Company which occurred pursuant to the IPO as described in Note 14 – Subsequent Events.</w:t>
      </w:r>
    </w:p>
    <w:p>
      <w:pPr>
        <w:spacing w:after="0" w:line="188"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the rules and regulations of the Securities and Exchange Commission and in accordance with accounting principles generally accepted in the United States of America (“US GAAP”) as found in the Accounting Standards Codification (“ASC”) and Accounting Standards Update (“ASU”) of the Financial Accounting Standards Board (“FASB”). Certain information and footnote disclosures normally included in financial statements prepared in accordance with U.S. GAAP have been condensed or omitted pursuant to such rules and regulations and should be read in conjunction with the Company’s latest audited annual financial statements.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financial position as of March 31, 2026, and December 31, 2025, and its results of operations for the three months ended March 31, 2026, and March 31, 2025, and cash flows for the three months ended March 31, 2026, and March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and its majority owned subsidiaries. All of the Company’s subsidiaries are wholly owned with the exception of RE Energy Company, LLC (“RE Energy”), which has a non-controlling interest with the right to receive distributions related to a patronage program of RE Energy’s fuel distributor. All intercompany accounts and transactions have been eliminated in consolidation.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Among the estimates made by management are (i) estimated fair value of assets and liabilities acquired in a business combination or asset acquisition and identification of goodwill and intangible assets, (ii) assumptions used to evaluate goodwill,</w:t>
      </w:r>
    </w:p>
    <w:p>
      <w:pPr>
        <w:spacing w:after="0" w:line="3" w:lineRule="exact"/>
        <w:rPr>
          <w:sz w:val="20"/>
          <w:szCs w:val="20"/>
          <w:color w:val="auto"/>
        </w:rPr>
      </w:pPr>
    </w:p>
    <w:p>
      <w:pPr>
        <w:ind w:left="60" w:right="79" w:hanging="10"/>
        <w:spacing w:after="0" w:line="260" w:lineRule="auto"/>
        <w:tabs>
          <w:tab w:leader="none" w:pos="3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to evaluate property and equipment and intangible assets for impairment, (iv) assumptions used to determine the fair value of leased properties, (v) accruals and contingent liabilities, and (vi) fair value of derivatives.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Although the Company believes its estimates are reasonable, actual results could differ from these estimates.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cash and investments with original maturity dates of three months or less at the time of purchase to be cash equivalents. The carrying value of cash and cash equivalents approximates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summary of the receivable values at March 31, 2026, and December 31, 2025, with a beginning balance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1, 2025, for the amount of $22,128:</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46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​​​March 31, 2026 </w:t>
            </w:r>
            <w:r>
              <w:rPr>
                <w:rFonts w:ascii="Times New Roman" w:cs="Times New Roman" w:eastAsia="Times New Roman" w:hAnsi="Times New Roman"/>
                <w:sz w:val="14"/>
                <w:szCs w:val="14"/>
                <w:color w:val="auto"/>
              </w:rPr>
              <w:t>​​​December 31, 2025</w:t>
            </w: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31,282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Lottery accounts receivable</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32,213</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w:t>
            </w:r>
          </w:p>
        </w:tc>
      </w:tr>
      <w:tr>
        <w:trPr>
          <w:trHeight w:val="20"/>
        </w:trPr>
        <w:tc>
          <w:tcPr>
            <w:tcW w:w="4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all of the Company’s accounts receivable were classified as current assets and there were no non-standard payment terms.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Inventories primarily consist of merchandise in the Company’s stores and fuel. Merchandise is stated at the lower of cost or market using the average retail method. Fuel inventories use a weighted-average cost using the first-in, first-out method for fuel. The Company also carries supply and equipment parts inventory necessary to keep store facilities and equipment in working order.</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order to assure valuation at the lower of cost or market for merchandise, the retail value of inventory is adjusted on a consistent basis to reflect current market conditions. These adjustments include increases in the retail value of inventory for initial markups to set the selling price of goods or additional markups to adjust pricing for inflation and decreases to the retail value of inventory for markdowns associated with promotional, seasonal, or other declines in the market value.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these adjustments are made on a consistent basis and are based on current prevailing market conditions, they approximate the carrying value of the inventory at market. Therefore, after applying the cost to retail ratio, the cost value of inventory is stated at the lower of cost or market.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50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​​​March 31, 2026 </w:t>
            </w:r>
            <w:r>
              <w:rPr>
                <w:rFonts w:ascii="Times New Roman" w:cs="Times New Roman" w:eastAsia="Times New Roman" w:hAnsi="Times New Roman"/>
                <w:sz w:val="14"/>
                <w:szCs w:val="14"/>
                <w:color w:val="auto"/>
              </w:rPr>
              <w:t>​​​December 31, 2025</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w:t>
            </w:r>
          </w:p>
        </w:tc>
        <w:tc>
          <w:tcPr>
            <w:tcW w:w="2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21,097</w:t>
            </w: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Merchandise</w:t>
            </w:r>
          </w:p>
        </w:tc>
        <w:tc>
          <w:tcPr>
            <w:tcW w:w="2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61,670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62,074</w:t>
            </w:r>
          </w:p>
        </w:tc>
      </w:tr>
      <w:tr>
        <w:trPr>
          <w:trHeight w:val="210"/>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88,282</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83,171</w:t>
            </w:r>
          </w:p>
        </w:tc>
      </w:tr>
      <w:tr>
        <w:trPr>
          <w:trHeight w:val="20"/>
        </w:trPr>
        <w:tc>
          <w:tcPr>
            <w:tcW w:w="3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the approximation of market under the retail inventory method is based on estimates such as markups, markdowns, and inventory losses (shrink), there exists an inherent uncertainty in the final determination of inventory cost and gross margin. In order to mitigate that uncertainty, the Company performs quarterly physical counts at all locations and has a formal review by product class which considers variables such as current market trends, seasonality, weather patterns, and age of merchandise to ensure that markdowns are taken currently, or a markdown reserve is established to cover future anticipated markdowns. This review also considers current pricing trends and inflation to ensure that markups are taken, if necessary.</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establishes inventory reserves to record its inventory at the lower of cost or net realizable value. A portion of the inventory reserves represent an amount for excess and slow-moving inventory on hand that is expected to be written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off or otherwise disposed of below cost at a future date. The Company’s estimate of the appropriate amount of the excess and slow-moving inventory reserve utilizes certain inputs and involves judgment. The inventory reserve was $950 at March 31, 2026, and December 31, 2025, which is included in Inventories in the accompanying unaudited Condensed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accounts for costs incurred for construction-in-progress under build-to-suit sale-leaseback arrangements (“BTS Arrangements”) within Other current assets in the accompanying Consolidated Balance Sheets. The costs consist primarily of payments made by the Company to purchase assets where the Landlords are the accounting owner. The costs are expected to be reimbursed by the Landlords throughout the construction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4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​​​March 31, 2026 </w:t>
            </w:r>
            <w:r>
              <w:rPr>
                <w:rFonts w:ascii="Times New Roman" w:cs="Times New Roman" w:eastAsia="Times New Roman" w:hAnsi="Times New Roman"/>
                <w:sz w:val="14"/>
                <w:szCs w:val="14"/>
                <w:color w:val="auto"/>
              </w:rPr>
              <w:t>​​​December 31, 2025</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BTS Arrangements - construction in progress</w:t>
            </w:r>
          </w:p>
        </w:tc>
        <w:tc>
          <w:tcPr>
            <w:tcW w:w="1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2,999</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1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1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18,500</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13,235</w:t>
            </w:r>
          </w:p>
        </w:tc>
      </w:tr>
      <w:tr>
        <w:trPr>
          <w:trHeight w:val="20"/>
        </w:trPr>
        <w:tc>
          <w:tcPr>
            <w:tcW w:w="4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accretion. Depreciation, amortization, and accretion are computed using the straight-line method over the estimated useful lives of the assets. Leasehold improvements and other assets at leased locations are amortized over the shorter of the estimated useful lives of the assets or the term of the lease. Useful lives for assets are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tcBorders>
              <w:bottom w:val="single" w:sz="8" w:color="auto"/>
            </w:tcBorders>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shd w:val="clear" w:color="auto" w:fill="CCEEFF"/>
          </w:tcPr>
          <w:p>
            <w:pPr>
              <w:spacing w:after="0"/>
              <w:rPr>
                <w:sz w:val="18"/>
                <w:szCs w:val="18"/>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 years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Tanks</w:t>
            </w:r>
          </w:p>
        </w:tc>
        <w:tc>
          <w:tcPr>
            <w:tcW w:w="320" w:type="dxa"/>
            <w:vAlign w:val="bottom"/>
            <w:shd w:val="clear" w:color="auto" w:fill="CCEEFF"/>
          </w:tcPr>
          <w:p>
            <w:pPr>
              <w:spacing w:after="0"/>
              <w:rPr>
                <w:sz w:val="18"/>
                <w:szCs w:val="18"/>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lease term or 40 years</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lease term or useful life</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disposal of long-lived assets</w:t>
      </w:r>
    </w:p>
    <w:p>
      <w:pPr>
        <w:spacing w:after="0" w:line="22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addresses the reporting for the impairment or disposal of long-lived assets and does not apply to goodwill or intangible assets that are not being amortized and certain other long-lived assets. The Company has long-lived assets, primarily consisting of real property and improvements thereon, underground storage tanks, dispensing equipment, other personal property, and right-of-use assets. The Company evaluates intangible and tangible assets whenever events or changes in circumstances indicate that the carrying amount of the asset may not be recoverable.</w:t>
      </w:r>
    </w:p>
    <w:p>
      <w:pPr>
        <w:spacing w:after="0" w:line="18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monitors closed and underperforming stores for an indication that the carrying amount of assets may not be recoverable. If the sum of the expected future undiscounted cash flows is less than the carrying amount of the assets, an impairment loss is recognized to the extent the carrying value of the assets exceeds their estimated fair value. Fair value is based on management’s estimate of the amount that could be realized from the sale of assets in a current transaction between willing parties. The estimate is derived from offers, actual sale or disposition of assets subsequent to year end, and other indicators of fair value.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determining whether an asset is impaired, assets are grouped at the lowest level for which there are identifiable cash flows that are largely independent of the cash flows of other groups of assets, which for the Company is generally on a store-by-store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tangible and identifiable intangible assets of businesses acquired. The Company performs an annual impairment test of its goodwill unless interim indicators of impairment exist. The testing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constitute a self-sustaining business, in which case testing is generally required to be performed at this level. The Company has determined that it has one operating segment and one reporting unit. The Company’s annual impairment testing date is October 1 of each fiscal year. US GAAP permits entities to first assess qualitative factors to determine whether it is more likely than not that the fair value of a reporting unit is less than its carrying amount, as a basis for determining whether it is necessary to perform the quantitative impairment test. An impairment loss is recognized in an amount equal to the excess of the reporting unit’s carrying value over its fair value, up to the amount of goodwill allocated to the reporting unit. At March 31, 2026, the Company assessed qualitative factors and determined it was more likely than not that the fair value of the reporting unit exceeded the carrying value.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classifies assets and liabilities as held for sale when the below conditions are satisfied:</w:t>
      </w:r>
    </w:p>
    <w:p>
      <w:pPr>
        <w:spacing w:after="0" w:line="225"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approved and committed to a plan to sell the assets or disposal group.</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or disposal group is available for immediate sale in its present condition.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program to locate a buyer and other actions required to complete the sale have been initiated.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asset or disposal group is probable and expected to be completed within one year.</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or disposal group is being actively marketed for sale at a price that is reasonable in relation to its current fair value.</w:t>
      </w: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unlikely that significant changes to the plan will be made or that the plan will be withdrawn.</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assets and liabilities are classified as non-current when proceeds are expected to be used to re-pay long-term debt. The Company initially measures a long-lived asset or disposal group that is classified as held for sale at the lower of its carrying value or fair value less any costs to sell and recognize any loss in the period in which the held for sale criteria are met. Gains are not recognized until the date of sale. The Company ceases depreciation and amortization of assets within a disposal group, upon their designation as held for sale and subsequently assesses fair value less any costs to sell at each reporting date until the asset or disposal group is no longer classified as held for sale.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self-insures its health and dental benefits offered to its employees. To mitigate the risk of self-insured healthcare claims costs, the Company purchased stop-loss insurance that shifts the financial liability back to the insurance provider if specific claim and expense amounts are in excess of $200. The self-insurance reserve is determined actuarially at each quarter end based on claims filed and an estimate of claims incurred but not yet reported. At March 31, 2026, and December 31, 2025, self-insurance reserves of $2,111 and $3,904 respectively, are included in Accrued expenses and other current liabilities in the accompanying unaudited Condensed Consolidated Balance Sheets. The Company recorded expenses totaling $3,235 and $2,008 related to self-insured health care claims during the three months ended March 31, 2026, and March 31, 2025, respectively, which are recorded in Selling, general, and administrative expenses in the accompanying unaudited Condensed Consolidated Statements of Income.</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Self-insurance reserves were made for estimated liabilities associated with workers’ compensation and general liability. The reserve estimate is based on an actuarial evaluation of the Company’s history of claims, industry benchmark factors, and specific event analysis. At March 31, 2026, and December 31, 2025, self-insurance reserves of $5,729 and $5,550,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respectively, for workers’ compensation and general liability reserve on a discounted basis are included in Accrued expenses and other current liabilities in the accompanying unaudited Condensed Consolidated Balance Sheets.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Point in time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recognizes retail sales of fuel and merchandise at the point in time of the sale to the customer when goods or services are exchanged for legal tender as the performance obligation has been satisfied. Sales taxes collected from customers and remitted to the government are recorded on a net basis in the accompanying unaudited Condensed Consolidated Financial Statements.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evaluates whether it is a principal or an agent in a transaction to determine whether revenue should be recorded on a gross or a net basis. In performing this analysis, the Company considers first whether it controls the goods before they are transferred to the customers and if it has the ability to direct the use of the goods or obtain benefits from them. The Company also considers the following indicators: (1) the primary obligor, (2) the latitude in establishing prices and selecting suppliers, and (3) the inventory risk borne by the Company before and after the goods have been transferred to the customer. When the Company acts as principal, revenue is recorded on a gross basis. When the Company acts as an agent, revenue is recorded on a net basis. The Company recognizes commissions and other service fees on the sale of lottery and gaming products, at the point in time of the sale to the customer.</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following table disaggregates the Company’s revenue by major source for the three months ended March 31, 2026, and</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2025</w:t>
            </w:r>
          </w:p>
        </w:tc>
      </w:tr>
      <w:tr>
        <w:trPr>
          <w:trHeight w:val="209"/>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sales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464,305</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400,177</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Inside merchandise sales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213,677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195,104</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683,630</w:t>
            </w:r>
          </w:p>
        </w:tc>
        <w:tc>
          <w:tcPr>
            <w:tcW w:w="20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600,318</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Deferred revenue – loyalty program</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offers customer loyalty programs whereby participants can earn rewards based on their spending or other promotional activities redeemable towards certain merchandise or fuel. These programs create a performance obligation which requires us to defer a portion of sales revenue to the loyalty program participants until they redeem their awards. Earned rewards expire after an account is inactive for between one month and one year, depending on the program. The Company determines the loyalty reward obligations based on the relative standalone selling price. Liabilities for unredeemed awards are accrued until redemption or expiration and, upon redemption and expiration, recorded as an adjustment to Other revenues.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Changes in the loyalty rewards program liability are included in Accrued expenses and other current liabilities in the accompanying unaudited Condensed Consolidated Balance Sheets were as follows:</w:t>
      </w:r>
    </w:p>
    <w:tbl>
      <w:tblPr>
        <w:tblLayout w:type="fixed"/>
        <w:tblInd w:w="6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March 31, 2026</w:t>
            </w:r>
          </w:p>
        </w:tc>
      </w:tr>
      <w:tr>
        <w:trPr>
          <w:trHeight w:val="209"/>
        </w:trPr>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rewards liability, beginning balance</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Loyalty rewards liability, ending balance</w:t>
            </w:r>
          </w:p>
        </w:tc>
        <w:tc>
          <w:tcPr>
            <w:tcW w:w="260" w:type="dxa"/>
            <w:vAlign w:val="bottom"/>
            <w:gridSpan w:val="2"/>
          </w:tcPr>
          <w:p>
            <w:pPr>
              <w:spacing w:after="0"/>
              <w:rPr>
                <w:sz w:val="18"/>
                <w:szCs w:val="18"/>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3,483</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expects all loyalty rewards outstanding as of March 31, 2026, to be recognized within one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Excise tax</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Excise taxes of $58,973 and $54,317 on retail fuel sales are included in total revenues and cost of goods sold for the three months ended March 31, 2026, and March 31, 2025,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(exclusive of depreciation and amortization)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includes all costs incurred to acquire motor fuel and merchandise, including excise taxes, the costs of purchasing, storing, and transporting inventory prior to delivery to customers as Cost of goods sold (exclusive of depreciation and amortization) in the accompanying unaudited Condensed Consolidated Statements of Income. All depreciation and amortization of Property and equipment amounts are included in Depreciation, amortization, and accretion expense in the accompanying unaudited Condensed Consolidated Statements of Income.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Fuel and merchandise vendor allowances and rebates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Fuel suppliers and merchandise vendors offer incentives and allowances in different forms. The Company accounts for these incentives and allowances under FASB ASC 705-20</w:t>
      </w:r>
      <w:r>
        <w:rPr>
          <w:rFonts w:ascii="Times New Roman" w:cs="Times New Roman" w:eastAsia="Times New Roman" w:hAnsi="Times New Roman"/>
          <w:sz w:val="18"/>
          <w:szCs w:val="18"/>
          <w:i w:val="1"/>
          <w:iCs w:val="1"/>
          <w:color w:val="auto"/>
        </w:rPr>
        <w:t>, Accounting for Consideration Received from Vendors.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Fuel supplier incentives and allowances may include a discount for prompt payment, temporary volume allowances, and other volume rebates. Prompt payment discounts from suppliers are based on a percentage of the purchase price of motor fuel and the dollar value of these discounts varies with motor fuel prices. These incentives and allowance are recorded as reduction to the cost of goods sold. The aggregate amounts recorded as a reduction to Cost of goods sold (exclusive of depreciation and amortization) in the accompanying unaudited Condensed Consolidated Statements of Income for fuel supplier incentives and allowances for the three months ended March 31, 2026, and March 31, 2025, were $428 and $374, respectively.</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receives payments for vendor allowances and volume rebates from various suppliers of convenience store merchandise. Vendor allowances for price markdowns are credited to the cost of goods sold during the period the related markdown is realized. Volume rebates of merchandise are recorded as reductions to the cost of goods sold when the merchandise qualifies for the rebate is sold. Slotting and stocking allowances received from a vendor are recorded as a reduction to the cost of goods sold over the period covered by the agreement.</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aggregate amounts recorded as a reduction to Cost of goods sold (exclusive of depreciation and amortization) in the accompanying unaudited Condensed Consolidated Statements of Income for merchandise vendor allowances and rebates for the three months ended March 31, 2026, and March 31, 2025, were $9,718 and $9,069,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procures most of its fuel products under branded fuel supply agreements with two major oil companies. The supply agreements provide formula-based pricing and minimum volume commitments. For the three months ended March 31, 2026, and March 31, 2025, the Company’s branded fuel purchases totaled approximately 85% and 89%, respectively, and exceeded their minimum volume purchase commitments. The Company may also purchase unbranded fuel from other suppliers to supply unbranded sites. Fuel products are received at various fuel terminals throughout markets in which the Company operates and are transported to stores through common carriers. While the Company believes other fuel suppliers could supply product at similar or more favorable terms, there is a risk that an alternative supplier would not be immediately available or would not meet the current contracted pricing agreement, resulting in a material effect on the Company’s business, cost of goods sold, and results of operations.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also purchased approximately 56% of general merchandise and supplies from three wholesale grocers during each of the three months ended March 31, 2026, and March 31, 2025. While the Company believes other wholesale grocers could supply general merchandise at similar or more favorable terms, there is a risk an alternative supplier would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not be immediately available or would not meet the current pricing resulting in a material effect on the Company’s business, costs of goods sold,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accounts receivable. The Company invests a portion of its cash and cash equivalents with nonaffiliated institutions, which, at times, may exceed federally insured limits and which management believes to have strong credit ratings. The Company has not experienced any losses on its deposits of cash or cash equivalents. Federal insurance coverage was limited to $250 per depositor at each financial institution. As of March 31, 2026, and December 31, 2025, there were approximately $59,303 and $29,004, respectively, in accounts that were in excess of federally insured limits. Concentrations of credit risk with respect to accounts receivable are limited due to the credit worthiness of the Company’s credit card processors, vendors, tenants, and customers. Management regularly monitors the creditworthiness of its counterparties and believes that it has adequately provided for any exposure to expected credit losses.</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 incentive plan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Employees of the Company are eligible to participate in the Unit Incentive Plan (the “Plan”). The Plan is designed as profit interests for plan participants (the “Plan Participants”) to share in any future appreciation of the Company after the Members receive the agreed upon distribution of $762,110, thereby aligning the interests of Plan Participants with those of the Company’s Members. The Company authorized the issuance of up to 2.5% Series P member interests (“Series P Interests”) for Plan Participants. Series P Interests are subject to vesting, repurchase rights upon cessation of employment, and other events defined within the Plan. Series P Interests vest over a 4-year period as long as the Participant has provided continuous employment, consulting, or other service to the Company, one of its Affiliates or an Affiliate through each vesting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senior preferred membership interests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members’ interest subject to possible redemption in accordance with the guidance in FASB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redeemable senior preferred membership interests are redeemable upon the occurrence of certain deemed liquidation events which are outside of the Company’s control and therefore are classified outside of permanent equity. The redeemable senior preferred membership interests are recorded net of issuance costs and discounts and are being accreted to their expected redemption amount using the effective interest method over the expected term of the instrument (effective interest rate of 17.2% as of March 31, 2026). The Company recorded accretion of $10,402 and $8,394 during the three months ended March 31, 2026, and March 31, 2025, respectively, which is considered a deemed dividend.</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redeemable senior preferred membership interests contain an embedded derivative which requires bifurcation and mark-to-market treatment each period with changes in fair value recognized in earnings in accordance with FASB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The Company bifurcates embedded features from their host instruments and accounts for them as freestanding derivative financial instruments if certain criteria are met.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(See also Note 9 Fair Value Measurements.)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accompanying unaudited Condensed Consolidated Balance Sheets, the Company separately identifies the equity of a non-controlling partner of its subsidiary, RE Energy, which has the right to receive distributions related to a patronage program of RE Energy’s fuel distributor. Non-controlling interest is recognized as a component of equity in the accompanying unaudited Condensed Consolidated Balance Sheets and the net income attributable to the non-controlling interest is allocated in the accompanying unaudited Condensed Consolidated Statements of Income. Net income of $0 was allocated to non-controlling interest during both the three months ended March 31, 2026, and March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accounting</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Leases are classified and reported in accordance with FASB ASC 842</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(“ASC 842”). The Company leases certain properties under non-cancellable leases whose base terms are typically 10 to 20 years and generally provide options that permit renewals for additional periods. The Company recognizes a right-of-use asset representing its right to use the underlying assets for the lease term and a lease liability for the obligation to make lease payments. Both the right-of-use asset and lease liability are initially measured at the present value of the lease payments using the implicit rate in the lease agreement when it is readily determinable. When the implicit rate is not readily determinable, the Company uses its incremental borrowing rate of debt over the term of the lease. The Company includes lease payments from renewal options in the measurement of its right-of-use assets and lease liabilities when the renewal options are reasonably certain of exercise. Minimum lease payments are expensed on a straight-line basis over the term of the lease including renewal periods that are reasonably expected to be exercised. In addition to minimum lease payments, certain leases provide for fixed or indexed-based increases and may also include additional payments based on the Company’s sales volumes. The Company is typically responsible for payment of real estate taxes, maintenance expenses, and insurance related to the leased properties. All variable-based increases or additional lease expenses are expensed as incurred and not included in the Company’s recognized lease liabilities.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each lease component and its associated non-lease components as a single component and has allocated the contract consideration across lease components only.</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for each of the Company’s real estate transactions involving the leaseback of the related property from the buyer or affiliates of the buyer, the Company determines whether these transactions qualify as sale and leaseback transactions under ASC 842. A transaction involving a sale and leaseback will be accounted for as a sale if the buyer-lessor obtains control of the asset unless the leaseback would be classified as a finance lease or unless an option for the Company to repurchase the asset would preclude accounting as a sale. The Company considers various inputs and assumptions in assessing whether transactions involving a sale and leaseback should be accounted for as a sale, including whether the buyer-lessor has the significant risks and rewards of ownership, lease renewal options, and whether a repurchase option exists. For these transactions, the Company considers various inputs and assumptions including, but not necessarily limited to, effective cost of funds, lease terms, renewal options, minimum lease payments, discount rates, economic life of the properties, the existence of a purchase option, and other rights and provisions in the purchase and sale agreement, lease, and other documentation to determine whether control has been transferred to the buyer or remains with the Company. A lease will be classified as direct financing if risks and rewards are conveyed without the transfer of control. Otherwise, the lease is treated as an operating lease.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sale and leaseback transactions described above, the Company entered into BTS Arrangements for the construction of new stores. For BTS Arrangements, the Company may transfer land or partially constructed assets to the lessor and leaseback the underlying assets upon completion of construction. Only transactions for which the construction-in-progress asset is substantially similar to the completed asset leased back are in the scope of the sale and leaseback guidance. If the asset leased back is substantially different from that being sold, the transaction is assessed as a sale of a non-financial asset under FASB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FASB ASC 842, BTS Arrangements require specific consideration to determine whether the Company is considered the accounting owner of the land and asset during the construction period. This determination requires the Company to evaluate whether the Company controls the land and assets being constructed, which includes having the ability to direct how and for what purpose the asset is used during the construction period, as well as bearing the majority of the risks and rewards of ownership. For these BTS Arrangements, the Company has determined the lessor has obtained control of the land during the construction period. Nonetheless, the Company remains the accounting owner of the land until lease commencement as sale treatment cannot be determined until the lease commences. Upon commencement of the lease, the Company applies the leaseback measurement guidance under ASC 842 described above.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roll forward of the asset retirement obligations at March 31, 2026, and December 31, 2025:</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43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​​​March 31, 2026 </w:t>
            </w:r>
            <w:r>
              <w:rPr>
                <w:rFonts w:ascii="Times New Roman" w:cs="Times New Roman" w:eastAsia="Times New Roman" w:hAnsi="Times New Roman"/>
                <w:sz w:val="14"/>
                <w:szCs w:val="14"/>
                <w:color w:val="auto"/>
              </w:rPr>
              <w:t>​​​December 31, 2025</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2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settled</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incurred</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classified as held for sale</w:t>
            </w:r>
          </w:p>
        </w:tc>
        <w:tc>
          <w:tcPr>
            <w:tcW w:w="2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10"/>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0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10,272</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r>
      <w:tr>
        <w:trPr>
          <w:trHeight w:val="20"/>
        </w:trPr>
        <w:tc>
          <w:tcPr>
            <w:tcW w:w="4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operates as a single operating segment (the “Retail segment”). The Company primarily derives its revenue in the United States by operating convenience stores that offer a broad selection of merchandise, fuel, and other products and services designed to appeal to the convenience needs of the Company’s customers. The Company’s stores sell similar products and services, use similar processes to sell those products and services, and sell their products and services to similar classes of customers. The Chief Operating Decision Maker (“CODM”) is the Chairman and Chief Executive Officer. The CODM evaluates performance using Net income, as reported in the Company’s accompanying unaudited Condensed Consolidated Statements of Income. This metric is used to make operational and strategic decisions, prepare the Company’s annual plan, and allocate resources. The measurement of segment assets is reported in the accompanying unaudited Condensed Consolidated Balance Sheets as Total assets.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 during the current year</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The standard relates to estimating credit losses under CECL for current accounts receivable and current contract assets arising from revenue transactions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including those acquired in a transaction accounted for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standard does not apply to other types of accounts receivable and loans. The standard provides a practical expedient to assume that current conditions as of the balance sheet date will persist through the reasonable and supportable forecast period for eligible assets. Entities will still be required to adjust historical data used in the estimation to reflect current conditions. If elected, the practical expedient must be applied consistently to all eligible current accounts receivable and current contract assets. The Company adopted this standard on January 1, 2026, on a prospective basis. There was no impact on the Company’s financial statements or footnote disclosures as a result of adopting the practical expedient.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The standard clarifies interim disclosure requirements and requires entities to disclose events since the end of the last annual reporting period that have had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material impact on the entity. The new guidance will be effective for interim reporting periods within annual reporting periods beginning after December 15, 2027, and is to be adopted on a prospective basis. Early adoption is permitted and may be applied either prospectively or retrospectively. The Company is currently evaluating ASU 2025-11 to determine its impact on financial and footnote disclosures.</w:t>
      </w:r>
    </w:p>
    <w:p>
      <w:pPr>
        <w:spacing w:after="0" w:line="17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The standard is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and research and development). The amendments will require public entities or private companies that are in the process of going public to disclose specific types of expenses included in the expense captions presented on the face of the income statement, as well as disclosures about selling expenses. The new standard is effective for the Company’s annual periods beginning January 1, 2027, and interim periods within fiscal years beginning after December 15, 2027. Early adoption is permitted. The Company is currently evaluating this standard to determine its impact on the financial statements and footnote disclosures.</w:t>
      </w:r>
    </w:p>
    <w:p>
      <w:pPr>
        <w:spacing w:after="0" w:line="190" w:lineRule="exact"/>
        <w:rPr>
          <w:sz w:val="20"/>
          <w:szCs w:val="20"/>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Held for Sale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the first quarter of 2025, the Company committed to a plan to sell a disposal group that includes all of its 29 operating Iowa and Kansas convenience stores. The assets and related liabilities were classified as held for sale as of March 31, 2025. These assets and liabilities were not considered significant to the Company and did not represent a strategic shift. As of March 31, 2026, the disposal group continued to meet the criteria to be classified as held for sale under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We expect to sell these stores by the end of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Held-for-Sale Criteria and Impairment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assets and liabilities of the disposal group are classified as held for sale in the unaudited Condensed Consolidated Balance Sheet as of March 31, 2026, and are measured at the lower of their carrying amount or fair value less costs to sell.</w:t>
      </w:r>
    </w:p>
    <w:p>
      <w:pPr>
        <w:spacing w:after="0" w:line="162" w:lineRule="exact"/>
        <w:rPr>
          <w:sz w:val="20"/>
          <w:szCs w:val="20"/>
          <w:color w:val="auto"/>
        </w:rPr>
      </w:pPr>
    </w:p>
    <w:p>
      <w:pPr>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actively initiated a program to find a buyer and is marketing the property at a price reasonable in relation to its current fair value.</w:t>
      </w:r>
    </w:p>
    <w:p>
      <w:pPr>
        <w:ind w:left="720" w:right="79"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is considered highly probable and is expected to be completed within one year. Management is committed to the plan, and it is unlikely that significant changes will be made or that the plan will be withdrawn.</w:t>
      </w: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classification as held for sale, the Company ceased amortizing the long-lived assets.</w:t>
      </w:r>
    </w:p>
    <w:p>
      <w:pPr>
        <w:spacing w:after="0" w:line="20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carrying amounts of the major classes of assets and liabilities included in the disposal group classified as held for sale are as follows:</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5"/>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300" w:type="dxa"/>
            <w:vAlign w:val="bottom"/>
            <w:gridSpan w:val="5"/>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Carrying Amount</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as of</w:t>
            </w:r>
          </w:p>
        </w:tc>
        <w:tc>
          <w:tcPr>
            <w:tcW w:w="0" w:type="dxa"/>
            <w:vAlign w:val="bottom"/>
          </w:tcPr>
          <w:p>
            <w:pPr>
              <w:spacing w:after="0"/>
              <w:rPr>
                <w:sz w:val="1"/>
                <w:szCs w:val="1"/>
                <w:color w:val="auto"/>
              </w:rPr>
            </w:pPr>
          </w:p>
        </w:tc>
      </w:tr>
      <w:tr>
        <w:trPr>
          <w:trHeight w:val="173"/>
        </w:trPr>
        <w:tc>
          <w:tcPr>
            <w:tcW w:w="3260" w:type="dxa"/>
            <w:vAlign w:val="bottom"/>
            <w:gridSpan w:val="2"/>
            <w:vMerge w:val="continue"/>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15,139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held for sale</w:t>
            </w:r>
          </w:p>
        </w:tc>
        <w:tc>
          <w:tcPr>
            <w:tcW w:w="3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Carrying Amount</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as of</w:t>
            </w:r>
          </w:p>
        </w:tc>
        <w:tc>
          <w:tcPr>
            <w:tcW w:w="0" w:type="dxa"/>
            <w:vAlign w:val="bottom"/>
          </w:tcPr>
          <w:p>
            <w:pPr>
              <w:spacing w:after="0"/>
              <w:rPr>
                <w:sz w:val="1"/>
                <w:szCs w:val="1"/>
                <w:color w:val="auto"/>
              </w:rPr>
            </w:pPr>
          </w:p>
        </w:tc>
      </w:tr>
      <w:tr>
        <w:trPr>
          <w:trHeight w:val="173"/>
        </w:trPr>
        <w:tc>
          <w:tcPr>
            <w:tcW w:w="3260" w:type="dxa"/>
            <w:vAlign w:val="bottom"/>
            <w:gridSpan w:val="2"/>
            <w:vMerge w:val="continue"/>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08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held for sale</w:t>
            </w:r>
          </w:p>
        </w:tc>
        <w:tc>
          <w:tcPr>
            <w:tcW w:w="308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6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There was no impairment charge recorded for the three months ended March 31, 2026, and March 31, 2025, as the fair value exceeded carrying value.</w:t>
      </w:r>
    </w:p>
    <w:p>
      <w:pPr>
        <w:spacing w:after="0" w:line="374"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the Company disposed of certain assets upon store closures for total proceeds of $0 and $916, respectively, resulting in a loss of $10 and gain of $550,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5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186,371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182,433</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539,872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535,982</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221,340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216,717</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Tanks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158,833</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w:t>
            </w:r>
          </w:p>
        </w:tc>
      </w:tr>
      <w:tr>
        <w:trPr>
          <w:trHeight w:val="209"/>
        </w:trPr>
        <w:tc>
          <w:tcPr>
            <w:tcW w:w="5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1,119,087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1,111,495</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(258,736)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(242,936)</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860,351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868,559</w:t>
            </w:r>
          </w:p>
        </w:tc>
      </w:tr>
      <w:tr>
        <w:trPr>
          <w:trHeight w:val="20"/>
        </w:trPr>
        <w:tc>
          <w:tcPr>
            <w:tcW w:w="5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$15,799 and $15,377 for the three months ended March 31, 2026, and March 31, 2025, respectively.</w:t>
      </w:r>
    </w:p>
    <w:p>
      <w:pPr>
        <w:spacing w:after="0" w:line="374"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period ended March 31, 2026, and March 31, 2025, the Company entered into lease and disbursement agreements (the “BTS Arrangements”) with certain landlords. Under the BTS Arrangements, the Company identifies suitable parcels of land for convenience stores and such sites may be (i) initially owned by the Company and sold to the landlord, (ii) under a binding purchase and sale agreement which is then assigned to the landlord, or (iii) acquired by the landlord directly from a third-party. The Company prepares development, and construction plans which are approved by the landlord. The Company then engages and supervises third-party contractors to complete the construction of the stores which the landlord funds and legally owns. In some cases, the Company may begin construction prior to legal sale to landlord.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landlords are expected to fund the majority of the overall construction costs and related improvements. Each individual lease commences upon the substantial completion of each store, and the rent commencement date is expected to occur simultaneously. The initial term of each lease is approximately 20 years with a Company option to extend for two additional four-year terms. The Company assessed the renewal options and has included periods in the lease term for which renewal is reasonably certain to be exercised. The Company pays base rent to the landlord in an amount determined based on the total costs funded by landlord and the base rent payments increase 2.0% annually. The Company has a right of first offer to purchase properties at a price determined by the landlord. The Company cannot exercise its right of first refusal without action first taken by the landlord. Thus, the Company does not control the asset, and the right of first refusal is not a repurchase option under ASC 606. During the term, the Company will also pay all operating expenses, taxes, and any other expenses payable under each lease.</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finished construction at one store under the BTS Arrangements, and the respective lease commenced and is included as components of the Company’s initial operating lease liabilities in the amount of $8,218, and initial Right-of-use assets in the amount of $8,333 in the accompanying unaudited Condensed Consolidated Balance Sheets. In addition, the Company had one in-process construction project under the BTS Arrangements, which is expected to be completed by the end of the second quarter of 2026.</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costs consist of the following:</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components of lease expenses, including base rent, variable lease costs primarily consisting of rent based on a percentage of sales and common area maintenance are included in the accompanying unaudited Condensed Consolidated Statements of Income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costs, net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terms and weighted-average discount rates for outstanding leases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2025</w:t>
            </w:r>
          </w:p>
        </w:tc>
      </w:tr>
      <w:tr>
        <w:trPr>
          <w:trHeight w:val="209"/>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7,387</w:t>
            </w:r>
          </w:p>
        </w:tc>
        <w:tc>
          <w:tcPr>
            <w:tcW w:w="160" w:type="dxa"/>
            <w:vAlign w:val="bottom"/>
          </w:tcPr>
          <w:p>
            <w:pPr>
              <w:spacing w:after="0"/>
              <w:rPr>
                <w:sz w:val="18"/>
                <w:szCs w:val="18"/>
                <w:color w:val="auto"/>
              </w:rPr>
            </w:pP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5,455</w:t>
            </w: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lease-term - finance lease</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17.1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years</w:t>
            </w: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lease-term - operating lease</w:t>
            </w: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18.0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years</w:t>
            </w: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5.49 %</w:t>
            </w:r>
          </w:p>
        </w:tc>
        <w:tc>
          <w:tcPr>
            <w:tcW w:w="160" w:type="dxa"/>
            <w:vAlign w:val="bottom"/>
          </w:tcPr>
          <w:p>
            <w:pPr>
              <w:spacing w:after="0"/>
              <w:rPr>
                <w:sz w:val="18"/>
                <w:szCs w:val="18"/>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5.48 %</w:t>
            </w: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7.66 %</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7.62 %</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Future minimum payments under the finance leases and operating leases with initial or remaining terms of one year or more consist of the following as of March 31, 2026:</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Operating leases</w:t>
            </w: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period)</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30,645</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30,640</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30,929</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31,493</w:t>
            </w:r>
          </w:p>
        </w:tc>
      </w:tr>
      <w:tr>
        <w:trPr>
          <w:trHeight w:val="21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483,067</w:t>
            </w: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629,400</w:t>
            </w:r>
          </w:p>
        </w:tc>
      </w:tr>
      <w:tr>
        <w:trPr>
          <w:trHeight w:val="21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(300,864)</w:t>
            </w:r>
          </w:p>
        </w:tc>
      </w:tr>
      <w:tr>
        <w:trPr>
          <w:trHeight w:val="210"/>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328,536</w:t>
            </w:r>
          </w:p>
        </w:tc>
      </w:tr>
      <w:tr>
        <w:trPr>
          <w:trHeight w:val="20"/>
        </w:trPr>
        <w:tc>
          <w:tcPr>
            <w:tcW w:w="6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On April 2, 2021, the Company entered into a credit facility which was subsequently amended on November 23, 2022 (the “2021 Credit Facility”). The 2021 Credit Facility includes a $410,000 term loan (the “2021 Term Loan”) with a seven-year maturity and a $150,000 revolver (the “2021 Revolver”) with a five-year maturity. The 2021 Credit Facility was further amended on May 26, 2023 (the “2023 Amendment”), to replace the benchmark interest rate from LIBOR to SOFR as of July 1, 2023, and to adopt other conforming changes. The Company elected to apply the optional expedient within FASB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and determined that the 2023 Amendment was a debt modification in accordance with FASB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There was no material impact to the accompanying unaudited Condensed Consolidated Financial Statements for these changes.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30, 2025, the Company entered into an additional amendment to the Credit Facility with the Existing Revolver Lenders and extended the maturity date of the 2021 Revolver from April 2, 2026, to April 2, 2027 (the “First 2025 Credit Amendment”). On December 18, 2025, the Company entered into an additional amendment to the Credit Facility with the Existing Revolver Lenders (the “Second 2025 Credit Amendment” and together with the First 2025 Credit Amendment, the “2025 Credit Amendments”) and extended the maturity date of the 2021 Revolver from April 2, 2027, to April 2, 2028, lowered the interest rate by 25 basis points, and eliminated an upfront fee of 0.10% for each consenting Existing Revolving Credit Commitment. The Company determined the 2025 Credit Amendments to be debt modifications in accordance with FASB ASC 470-50. The fees associated with the 2025 Credit Amendments were immaterial.</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March 31, 2026, the interest rate under the 2021 Term Loan is SOFR plus 275 basis points (7.28% as of March 31, 2026) and the interest rate under the 2021 Revolver is SOFR plus 275 basis points (6.17% as of March 31, 2026). Principal on the 2021 Term Loan is payable in quarterly installments of $1,025, with a balloon payment of the remaining outstanding balance due upon maturity in April 2028. Borrowings on the 2021 Revolver are due upon maturity in April 2028. As of March 31, 2026, the Company has $110,000 available for future borrowings under its 2021 Revolver facility, of which $3,127 is committed to undrawn letters of credit.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Debt components as of March 31, 2026, and December 31, 2025, are summarized as follows: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31,2025</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2021 Term Loan (effective interest rate of 8.46% and 9.11% as of March 31, 2026, and</w:t>
            </w: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40" w:type="dxa"/>
            <w:vAlign w:val="bottom"/>
            <w:vMerge w:val="continue"/>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390,525</w:t>
            </w:r>
          </w:p>
        </w:tc>
        <w:tc>
          <w:tcPr>
            <w:tcW w:w="1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460" w:type="dxa"/>
            <w:vAlign w:val="bottom"/>
            <w:gridSpan w:val="2"/>
            <w:vMerge w:val="continue"/>
            <w:shd w:val="clear" w:color="auto" w:fill="CCEEFF"/>
          </w:tcPr>
          <w:p>
            <w:pPr>
              <w:spacing w:after="0"/>
              <w:rPr>
                <w:sz w:val="20"/>
                <w:szCs w:val="20"/>
                <w:color w:val="auto"/>
              </w:rPr>
            </w:pPr>
          </w:p>
        </w:tc>
        <w:tc>
          <w:tcPr>
            <w:tcW w:w="780" w:type="dxa"/>
            <w:vAlign w:val="bottom"/>
            <w:tcBorders>
              <w:right w:val="single" w:sz="8" w:color="CCEEFF"/>
            </w:tcBorders>
            <w:vMerge w:val="continue"/>
            <w:shd w:val="clear" w:color="auto" w:fill="CCEEFF"/>
          </w:tcPr>
          <w:p>
            <w:pPr>
              <w:spacing w:after="0"/>
              <w:rPr>
                <w:sz w:val="20"/>
                <w:szCs w:val="20"/>
                <w:color w:val="auto"/>
              </w:rPr>
            </w:pPr>
          </w:p>
        </w:tc>
        <w:tc>
          <w:tcPr>
            <w:tcW w:w="3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391,550</w:t>
            </w: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2021 Revolver (effective interest rate of 6.37% and 7.63% as of March 31, 2026,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430,525</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441,550</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debt discount and debt issuance costs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debt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(4,100)</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net of current maturities, debt discount, and debt issuance costs</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418,163</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428,211</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Scheduled principal payments of debts as of March 31, 2026, are as follows:</w:t>
            </w: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period)</w:t>
            </w: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423,350</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430,525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2021 Term Loan and 2021 Revolver are prepayable in accordance with the loan agreements without a prepayment penalty. In addition to contractually scheduled maturities, if certain excess free cash flow thresholds are achieved, as defined by the 2021 Credit Facility, and there is an outstanding balance on the 2021 Term Loan at the end of the respective calendar year, the Company will be obligated to prepay a certain amount of principal, as defined by the 2021 Credit Facility, within 125 days of the respective calendar year end. The 2021 Credit Facility is guaranteed by the Company. Under the 2021 Credit Facility, the Company is required to maintain compliance with certain financial and non-financial covenants. As of March 31, 2026, the Company was in compliance with its covenants.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activity for debt for the periods presented is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20"/>
                <w:szCs w:val="20"/>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incurred</w:t>
            </w:r>
          </w:p>
        </w:tc>
        <w:tc>
          <w:tcPr>
            <w:tcW w:w="3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capitalized</w:t>
            </w: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500" w:type="dxa"/>
            <w:vAlign w:val="bottom"/>
            <w:vMerge w:val="restart"/>
          </w:tcPr>
          <w:p>
            <w:pPr>
              <w:jc w:val="right"/>
              <w:ind w:right="2179"/>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obligations, net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2019 Sale-leaseback transactions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a sale in 2019 of 76 retail gasoline stations and convenience stores, the Company entered into sale and leaseback transactions with two different buyer-lessors. The leases provide for the lease of land, buildings, structures, and other improvements on the land, exclusive of storage tanks and fuel equipment. The leases have a twenty-year base term with four successive options to renew the leases for a five-year period on the same terms, covenants, conditions, and rental as the primary non-revocable lease term. The leases have a triple-net structure, which requires the Company to pay substantially all costs associated with the Company’s properties that are subject to the leases, including real estate taxes, insurance, utilities, maintenance, and operating costs.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sale did not meet the criteria for sale accounting as the leases would be classified as finance leases. As a result of not meeting the criteria for sale accounting for these sites, the sale-leaseback transactions are accounted for as a failed sale-leaseback financing obligation. As such, the property and equipment sold and leased back by the Company has not been derecognized and continues to be depreciated. When cash proceeds are exchanged, a failed sale-leaseback financing obligation is equal to the proceeds received for the assets that are sold and then leased back. Accordingly, the Company recognized a financing obligation of $236,894 based on proceeds from the sale. The value of the failed sale-leaseback financing obligations recognized in these transactions was determined to be the fair value of the leased real estate assets.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Company’s incremental borrowing rate at the time resulted in an ending financing obligation that was greater than the expected economic value of the leased property, the Company adjusted the interest rate to the effective yield of 6.2%, that, when applied to the minimum lease payments, produces a present value equal to the price. This will produce no gain or loss at the end of the lease term.</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rental payments under the lease are allocated between interest expense and principal repayment of the financing obligation using the effective interest method and amortized over the lease term. The failed sale-leaseback obligations will not be reduced to less than the net book value of the leased assets as of the end of the lease term.</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lieu of recognizing lease expenses for the lease rental payments, the Company incurs interest expense associated with the financing obligation. Interest expense of $3,857 and $3,831 was recorded for the three months ended March 31, 2026, and March 31, 2025, respectively. The financing obligation will amortize through expiration of the leases based upon the lease rental payments which were $496 and $467 for the three months ended March 31, 2026, and March 31, 2025, respectively. The rent payable under the lease agreements escalates at the lesser of either 1.5% or 1.5x of the increase in the Consumer Price Index (“CPI”). The estimated future payments in the table below include payments and adjustments to reflect estimated payments as described in the lease agreements. As the annual increases are considered contingent on what the change in CPI will be, the estimated future payments in the table below are not adjusted for minimum annual increases. Contingent payments and payments on account of CPI increases are recorded as interest expense as incurred. The Company incurred $1,276 in financing costs associated with these transactions which were capitalized and are being amortized over the life of the lease.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the financing obligations associated with 2019 sale-leaseback transaction are summarized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payments under financing obligations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225,275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of financing obligations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debt discount and debt issuance costs, net of accumulated amortization of $406 and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$390 as of March 31, 2026, and December 31, 2025, respectively</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line="198" w:lineRule="exact"/>
              <w:rPr>
                <w:sz w:val="20"/>
                <w:szCs w:val="20"/>
                <w:color w:val="auto"/>
              </w:rPr>
            </w:pPr>
            <w:r>
              <w:rPr>
                <w:rFonts w:ascii="Times New Roman" w:cs="Times New Roman" w:eastAsia="Times New Roman" w:hAnsi="Times New Roman"/>
                <w:sz w:val="18"/>
                <w:szCs w:val="18"/>
                <w:color w:val="auto"/>
              </w:rPr>
              <w:t>Long-term Financing Obligation, net of amounts representing current maturities, debt</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20" w:type="dxa"/>
            <w:vAlign w:val="bottom"/>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222,340</w:t>
            </w:r>
          </w:p>
        </w:tc>
        <w:tc>
          <w:tcPr>
            <w:tcW w:w="40" w:type="dxa"/>
            <w:vAlign w:val="bottom"/>
          </w:tcPr>
          <w:p>
            <w:pPr>
              <w:spacing w:after="0"/>
              <w:rPr>
                <w:sz w:val="15"/>
                <w:szCs w:val="15"/>
                <w:color w:val="auto"/>
              </w:rPr>
            </w:pPr>
          </w:p>
        </w:tc>
        <w:tc>
          <w:tcPr>
            <w:tcW w:w="40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222,851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and debt issuance costs</w:t>
            </w:r>
          </w:p>
        </w:tc>
        <w:tc>
          <w:tcPr>
            <w:tcW w:w="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payments related to the financing obligations are summarized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period)</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503,415</w:t>
            </w: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584,687</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(359,412)</w:t>
            </w:r>
          </w:p>
        </w:tc>
      </w:tr>
      <w:tr>
        <w:trPr>
          <w:trHeight w:val="20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225,275</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Build-to-suit sale-leaseback arrangements (“BTS Arrangements”)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year ended December 31, 2025, the Company entered into BTS Arrangements with buyer-lessors. These transactions resulted in the Company remaining the accounting owner of the land until lease commencement as sale treatment cannot be determined until lease commencement, which is generally upon construction completion and store opening. Accordingly, the proceeds received from the sale of land are recorded as financing obligations until the lease commences and sale treatment can be evaluated.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Classification of the leases as operating leases upon lease commencement permitted sale recognition, allowing the Company to derecognize the associated obligations. The Company recorded a gain on disposal of land under BTS Arrangements of $96 and a loss of $2 for the three months ended March 31, 2026, and March 31, 2025,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financing obligation associated with BTS Arrangements are summarized as of March 31, 2026,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as follows: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financing obligation under BTS Arrangements</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Additional proceeds from BTS Arrangements, net of debt issuance costs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closing costs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Land considered sold upon commencement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r>
      <w:tr>
        <w:trPr>
          <w:trHeight w:val="210"/>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financing obligation under BTS Arrangements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right="3859"/>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8. Redeemable senior preferred membership interests and equity </w:t>
      </w:r>
      <w:r>
        <w:rPr>
          <w:rFonts w:ascii="Times New Roman" w:cs="Times New Roman" w:eastAsia="Times New Roman" w:hAnsi="Times New Roman"/>
          <w:sz w:val="18"/>
          <w:szCs w:val="18"/>
          <w:b w:val="1"/>
          <w:bCs w:val="1"/>
          <w:i w:val="1"/>
          <w:iCs w:val="1"/>
          <w:color w:val="auto"/>
        </w:rPr>
        <w:t>Capital contributions and allocations</w:t>
      </w: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three classes of membership interests: Redeemable Senior Preferred Members, Common Members, and Series P Members. Redeemable Senior Preferred Members and Common Members have accounts that reflect initial and subsequent contributions, allocations of net income or loss, and distributions.</w:t>
      </w:r>
    </w:p>
    <w:p>
      <w:pPr>
        <w:spacing w:after="0" w:line="189" w:lineRule="exact"/>
        <w:rPr>
          <w:sz w:val="20"/>
          <w:szCs w:val="20"/>
          <w:color w:val="auto"/>
        </w:rPr>
      </w:pPr>
    </w:p>
    <w:p>
      <w:pPr>
        <w:jc w:val="both"/>
        <w:ind w:left="720" w:right="79" w:hanging="319"/>
        <w:spacing w:after="0" w:line="257"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Redeemable Senior Preferred Members </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 xml:space="preserve"> Hold a preferred equity interest and are entitled to an annual fixed preferred return as noted in detail below, paid before any distributions to Common Members. Redeemable Senior Preferred Members have no voting rights but hold liquidation preferences. During the year ended December 31, 2022, the Company sold 150,000 units of Redeemable Senior Preferred Membership Interests with a stated value of $150,000 for aggregate gross cash proceeds of $147,000.</w:t>
      </w:r>
    </w:p>
    <w:p>
      <w:pPr>
        <w:spacing w:after="0" w:line="1" w:lineRule="exact"/>
        <w:rPr>
          <w:rFonts w:ascii="Times New Roman" w:cs="Times New Roman" w:eastAsia="Times New Roman" w:hAnsi="Times New Roman"/>
          <w:sz w:val="18"/>
          <w:szCs w:val="18"/>
          <w:color w:val="auto"/>
        </w:rPr>
      </w:pPr>
    </w:p>
    <w:p>
      <w:pPr>
        <w:ind w:left="720" w:right="79" w:hanging="319"/>
        <w:spacing w:after="0" w:line="274"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Common Members </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 xml:space="preserve"> Hold standard equity interests with full voting rights and share in the remaining profits and losses after Redeemable Senior Preferred Members receive their fixed returns.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5" w:lineRule="exact"/>
        <w:rPr>
          <w:sz w:val="20"/>
          <w:szCs w:val="20"/>
          <w:color w:val="auto"/>
        </w:rPr>
      </w:pPr>
    </w:p>
    <w:p>
      <w:pPr>
        <w:jc w:val="both"/>
        <w:ind w:left="720" w:right="79" w:hanging="319"/>
        <w:spacing w:after="0" w:line="273"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Series P Members </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 xml:space="preserve"> Hold no equity interest but are entitled to profit interest based on the Unit Incentive Plan. Series P Members have no voting rights. Series P Interests may not exceed 2.5% of the total member interests outstanding. During the year ended December 31, 2020, the Company awarded all 2.5% Series P Interests. Series P Interests are granted at no cost to Plan Participants and consist of time-based vesting conditions. The value of the Series P Interests issued to Plan Participants was not material.</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Profit and loss allocations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income is allocated among the members in a manner so as to cause the capital account of each member, immediately after such allocation and after taking into account actual distributions made during the period, to equal as nearly as possible (proportionately) the excess of (a) the distributions that would be made to such member, if, at the time of allocation, the Company sold all of its assets for cash equal to their book values, repaid all of its creditors, and distributed the remaining proceeds to the members in accordance with the provisions of the operating agreement over (b) such member’s share of minimum gain and member nonrecourse debt minimum gain, as determined immediately prior to the hypothetical sale of assets. For purposes of making allocations, all Series P Interests shall be treated as fully vested.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Distributions are made as follows.</w:t>
      </w:r>
    </w:p>
    <w:p>
      <w:pPr>
        <w:spacing w:after="0" w:line="225" w:lineRule="exact"/>
        <w:rPr>
          <w:sz w:val="20"/>
          <w:szCs w:val="20"/>
          <w:color w:val="auto"/>
        </w:rPr>
      </w:pPr>
    </w:p>
    <w:p>
      <w:pPr>
        <w:jc w:val="both"/>
        <w:ind w:left="720" w:right="79" w:hanging="319"/>
        <w:spacing w:after="0" w:line="25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Redeemable Senior Preferred Members receive their accrued but unpaid preferred return. The holders of Redeemable Senior Preferred Membership Interests shall be entitled to receive, prior and in preference to the declaration or payment of any distribution on any other currently-outstanding membership interest, distributions when, as and if declared by the Board of Managers, payable quarterly on March 31st, June 30th, September 30th, and December 31st of each calendar year (each date a </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Distribution Payment Date</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 commencing on and including March 31, 2023, which distribution shall be paid in cash at a rate equal to 9.75% plus Term SOFR per annum on the then-current Liquidation Preference Amount (as defined below), which shall increase by 1.50% per annum on the second through seventh anniversaries of the issuance date. If not paid in cash on the Distribution Payment Dates, the distributions shall cumulate and compound quarterly at a rate equal to 10.50% plus Term SOFR, which shall increase by 1.50% per annum on the second through seventh anniversaries of the issuance date. As of March 31, 2026, the Company has $99,287 of cumulative distributions in arrears recorded at Redeemable Senior Preferred Membership Interests in the accompanying unaudited Condensed Consolidated Balance Sheets.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Common Members receive distributions up to total contributions made.</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64"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Series P Interest holders receive their percentage profit interest of such distributions, until such holder has received an aggregate amount of distributions equal to such holder</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s aggregate Series P percentage of the sum of</w:t>
      </w:r>
    </w:p>
    <w:p>
      <w:pPr>
        <w:spacing w:after="0" w:line="1" w:lineRule="exact"/>
        <w:rPr>
          <w:rFonts w:ascii="Times New Roman" w:cs="Times New Roman" w:eastAsia="Times New Roman" w:hAnsi="Times New Roman"/>
          <w:sz w:val="18"/>
          <w:szCs w:val="18"/>
          <w:color w:val="auto"/>
        </w:rPr>
      </w:pPr>
    </w:p>
    <w:p>
      <w:pPr>
        <w:jc w:val="both"/>
        <w:ind w:left="720" w:right="7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aggregate amount distributed to all Common Members for all time periods and (ii) the aggregate amount of distributions equal to such holder</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s aggregate Series P percentage of the amounts distributed to all Members following the date on which the Series P Interest was granted.</w:t>
      </w:r>
    </w:p>
    <w:p>
      <w:pPr>
        <w:jc w:val="both"/>
        <w:ind w:left="720" w:right="79" w:hanging="319"/>
        <w:spacing w:after="0" w:line="274"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remainder is apportioned as follows: (i) each holder of Series P Interests shall be entitled to its aggregate Series P percentage of the balance; and (ii) each Common Member shall be entitled to its then-Common Membership percentage interest of the difference between the balance and the amount distributed to holders of Series P Interests.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Liquidation and transfer restrictions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Redeemable Senior Preferred Members have priority over Common Members in the event of liquidation, receiving their initial capital contributions plus any unpaid preferred returns before Common Members receive distributions. In the event of any voluntary or involuntary liquidation event, dissolution, winding up of the Company, each holder of the outstanding Redeemable Senior Preferred Membership Interests will be entitled to receive a preferential payment equal to the stated value ($1,000 per share) plus the aggregate amount of all accrued, accumulated and unpaid distributions (the “Liquidation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Preference Amount”), prior and in preference to any distributions to other members. As of March 31, 2026, the Company has a Liquidation Preference Amount equal to the Redemption value amount of $249,287. Redeemable Senior Preferred Members have no conversion or exchange rights. Transfers of Common Member Interests and Series P Interests require written approval by the Board, except for certain permitted transfers specified in the operating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may at any time, redeem the whole or any part of the outstanding Redeemable Senior Preferred Membership Interests at a redemption price based on the greater of (i) the product of (a) 1.30 multiplied by (b) the aggregate purchase price of such interests being redeemed less any distributions previously paid in cash and (ii) the Liquidation Preference Amount (the “Redemption Amount”). In addition, the Redeemable Senior Preferred Membership Interests are redeemable upon the occurrence of (i) any change of control of the Company, (ii) the consummation of a qualified IPO or (iii) any insolvency event, at the Redemption Amount. Common Members and Series P Members do not have redemption rights.</w:t>
      </w:r>
    </w:p>
    <w:p>
      <w:pPr>
        <w:spacing w:after="0" w:line="200" w:lineRule="exact"/>
        <w:rPr>
          <w:sz w:val="20"/>
          <w:szCs w:val="20"/>
          <w:color w:val="auto"/>
        </w:rPr>
      </w:pPr>
    </w:p>
    <w:p>
      <w:pPr>
        <w:spacing w:after="0" w:line="201"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defines fair value and establishes a hierarchy for inputs used in measuring fair value that maximize the use of observable inputs and minimize the use of unobservable inputs, requiring that inputs that are most observable be used when available. Observable inputs are inputs that market participants operating within the same marketplace as the Company would use in pricing the Company’s assets or liability based on independently derived and observable market data. Unobservable input cannot be sourced from a broad active market in which assets or liabilities identical or similar to those of the Company are traded. The Company estimates the price of any assets for which there are only unobservable inputs by using assumptions that market participants that have investments in the same or similar assets would use as determined by the money managers for each investment based on best information available in the circumstances.</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hierarchy is categorized into three levels based on the degree to which the exit price is independently observable or determinable as follows: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Level 1 - Valuation based on quoted market prices in active markets for identical assets or liabilities. Since valuations are based on quoted prices that are readily and regularly available in an active market, valuation of these products does not entail a significant degree of judgment.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that are observable for the asset or liability through corroboration with market data at the measurement date.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Level 3 - Valuation based on inputs that are unobservable and reflect management’s best estimate of what market participants would use as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fair value hierarchy of the Company’s assets and liabilities measured at fair value on a recurring basis as of March 31, 2026, and December 31, 2025:</w:t>
      </w:r>
    </w:p>
    <w:p>
      <w:pPr>
        <w:ind w:left="4920"/>
        <w:spacing w:after="0" w:line="231" w:lineRule="auto"/>
        <w:rPr>
          <w:sz w:val="20"/>
          <w:szCs w:val="20"/>
          <w:color w:val="auto"/>
        </w:rPr>
      </w:pPr>
      <w:r>
        <w:rPr>
          <w:rFonts w:ascii="Times New Roman" w:cs="Times New Roman" w:eastAsia="Times New Roman" w:hAnsi="Times New Roman"/>
          <w:sz w:val="14"/>
          <w:szCs w:val="14"/>
          <w:b w:val="1"/>
          <w:bCs w:val="1"/>
          <w:color w:val="auto"/>
        </w:rPr>
        <w:t>Fair Value Measurement at the end of</w:t>
      </w:r>
    </w:p>
    <w:p>
      <w:pPr>
        <w:ind w:left="4880"/>
        <w:spacing w:after="0" w:line="232" w:lineRule="auto"/>
        <w:rPr>
          <w:sz w:val="20"/>
          <w:szCs w:val="20"/>
          <w:color w:val="auto"/>
        </w:rPr>
      </w:pPr>
      <w:r>
        <w:rPr>
          <w:rFonts w:ascii="Times New Roman" w:cs="Times New Roman" w:eastAsia="Times New Roman" w:hAnsi="Times New Roman"/>
          <w:sz w:val="14"/>
          <w:szCs w:val="14"/>
          <w:b w:val="1"/>
          <w:bCs w:val="1"/>
          <w:color w:val="auto"/>
        </w:rPr>
        <w:t>March 31, 2026, and December 31, 2025</w:t>
      </w:r>
    </w:p>
    <w:tbl>
      <w:tblPr>
        <w:tblLayout w:type="fixed"/>
        <w:tblInd w:w="40" w:type="dxa"/>
        <w:tblCellMar>
          <w:top w:w="0" w:type="dxa"/>
          <w:left w:w="0" w:type="dxa"/>
          <w:bottom w:w="0" w:type="dxa"/>
          <w:right w:w="0" w:type="dxa"/>
        </w:tblCellMar>
      </w:tblPr>
      <w:tr>
        <w:trPr>
          <w:trHeight w:val="142"/>
        </w:trPr>
        <w:tc>
          <w:tcPr>
            <w:tcW w:w="3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Overnight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52,984</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52,984</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28,272</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Redeemable senior preferred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membership interests</w:t>
            </w:r>
          </w:p>
        </w:tc>
        <w:tc>
          <w:tcPr>
            <w:tcW w:w="1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52,984</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28,272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 and methodologies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u w:val="single" w:color="auto"/>
          <w:color w:val="auto"/>
        </w:rPr>
        <w:t>Cash, Accounts receivables, Accounts payable, Accrued expenses and other noncurrent liabilities:</w:t>
      </w:r>
      <w:r>
        <w:rPr>
          <w:rFonts w:ascii="Times New Roman" w:cs="Times New Roman" w:eastAsia="Times New Roman" w:hAnsi="Times New Roman"/>
          <w:sz w:val="18"/>
          <w:szCs w:val="18"/>
          <w:color w:val="auto"/>
        </w:rPr>
        <w:t xml:space="preserve"> The carrying amount approximates fair value due to the short maturity of these instruments.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The fair value of the Company’s debt is estimated based on the current rates offered to the Company for debt of the same or similar issues. Based on the variable rate interest (Level 2) in-place, the fair value of the Company’s debt approximated its carrying value on March 31, 2026, and December 31, 2025.</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Derivative liability:</w:t>
      </w:r>
      <w:r>
        <w:rPr>
          <w:rFonts w:ascii="Times New Roman" w:cs="Times New Roman" w:eastAsia="Times New Roman" w:hAnsi="Times New Roman"/>
          <w:sz w:val="18"/>
          <w:szCs w:val="18"/>
          <w:color w:val="auto"/>
        </w:rPr>
        <w:t xml:space="preserve"> The probability of near term payoff of the Redeemable Senior Preferred Membership Interests has decreased the value of the derivative to $0 as of March 31, 2026, and December 31, 2025.</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table presented below is a summary of changes in the fair value of the Company’s Level 3 valuation for the derivative liability during the three months ended March 31, 2026, and the year ended December 31, 2025, were as follows: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There were no transfers between Levels 1, 2, and 3 during the reporting period.</w:t>
            </w: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also measures certain assets at fair value on a nonrecurring basis, including other investments, goodwill, property and equipment, operating lease right-of-use assets, and finance lease right-of-use assets when impairment indicators are present.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fair value of these assets is based on management’s estimates of the amount that could be realized from the sale of assets in a current transaction between willing parties. Impairment is evaluated and recorded throughout the year, as necessary. The fair value estimates are derived from offers, actual sale or disposition of assets, and other indications of fair value, which are considered Level 3 inputs. The Level 3 inputs of fair value measurement are significantly influenced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by market conditions, including changes in supply and demand, interest rates and financing conditions, inflation, and broader economic trends.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Related-party transactions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reimburses an affiliate of the Members for various costs incurred on behalf of the Company, as described below.</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was charged $71 and $70 during the three months ended March 31, 2026, and March 31, 2025, respectively, by an affiliate of the Members for a portion of rent for shared office space, which is included in Selling, general, and administrative expenses in the accompanying unaudited Condensed Consolidated Statements of Income.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was charged $12 and $11 during the three months ended March 31, 2026, and March 31, 2025, respectively, by an affiliate of the Members for certain operating expenses incurred on behalf of the Company, which is included in Selling, general, and administrative expenses in the accompanying unaudited Condensed Consolidated Statements of Income.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an outstanding payable amount of $58 and $46 as of March 31, 2026, and December 31, 2025, respectively for rent and accruals.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amounts Due to and Due from affiliates represent advances to and from the Company. Such amounts are non-interest bearing, due on demand.</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minimum retail gasoline volume purchase requirements with various unrelated parties. These gallonage requirements are purchased at the fair market value of the product at the time of delivery. Should these gallonage requirements not be achieved, the Company may be liable to pay penalties to the appropriate supplier. As of March 31, 2026, the Company has fulfilled all gallonage commitments. The amounts purchased under these requirements were $288,303 and $261,635 for the three months ended March 31, 2026, and March 31, 2025,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provides minimum volume purchase requirements on March 31, 2026 (in thousands of gallons):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412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period)</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130,638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553,766</w:t>
            </w:r>
          </w:p>
        </w:tc>
      </w:tr>
      <w:tr>
        <w:trPr>
          <w:trHeight w:val="20"/>
        </w:trPr>
        <w:tc>
          <w:tcPr>
            <w:tcW w:w="47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contracts with various contractors to build its stores. As of March 31, 2026, and December 31, 2025, the Company had aggregate remaining commitments of approximately $22,744 and $9,161, respectively. These contracts are expected to be completed by the end of the second quarter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invested in Intrepid Venture GP, LLC as a Limited Partner in December 2021. This investment is accounted for using the cost method. The investment requires the Company to make capital contributions in cash to the partnership from time to time up to $3,000. As of March 31, 2026, the Company had an investment balance of $1,812 included in Other assets in the accompanying unaudited Condensed Consolidated Balance Sheets and a remaining commitment totaling $1,188.</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liabilities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United States Environmental Protection Agency and several states have adopted laws and regulations relating to underground storage tanks used for petroleum products. The Company has engaged environmental consultants to continually evaluate and monitor its locations for environmental compliance and potential remediation. If remediation is required, the Company’s consultants assist in developing remediation plans and cost projections, implement remediation actions, and monitor the sites as required. It is reasonably possible that the requirement for and the cost of remediation could change in the near term as a result of (1) changes to the remediation plan as required by federal, state, or local authorities, (2) changes in technology available to treat the sites, (3) unforeseen circumstances at the site, and</w:t>
      </w:r>
    </w:p>
    <w:p>
      <w:pPr>
        <w:spacing w:after="0" w:line="3" w:lineRule="exact"/>
        <w:rPr>
          <w:sz w:val="20"/>
          <w:szCs w:val="20"/>
          <w:color w:val="auto"/>
        </w:rPr>
      </w:pPr>
    </w:p>
    <w:p>
      <w:pPr>
        <w:jc w:val="both"/>
        <w:ind w:left="60" w:right="59" w:hanging="10"/>
        <w:spacing w:after="0" w:line="251" w:lineRule="auto"/>
        <w:tabs>
          <w:tab w:leader="none" w:pos="3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projected and actual costs. Where allowable, the Company has filed claims under its property insurance policies and with federal, state, and local agencies for ongoing maintenance and preventive care required by the Company’s insurance carriers. The Company accrues for environmental remediation liabilities when it is probable a liability has been incurred and the amount of loss can be reasonably estimated. Therefore, although the Company believes that these environmental liabilities are adequate, no assurances can be made that any costs incurred in excess of these environmental liabilities or outside of indemnifications or not otherwise covered by insurance would not have a material adverse effect on the Company’s financial condition, results of operations or cash flows. As of March 31, 2026, and December 31, 2025, the Company had an estimated liability of $3,262, recorded on an undiscounted basis in Other noncurrent liabilities in the accompanying unaudited Condensed Consolidated Balance Sheets. Amounts may be paid out over a period that extends beyond one year from March 31, 2026. Environmental remediation and maintenance expense totaled $551 for each of the three months ended March 31, 2026, and March 31, 2025, and is included in Selling, general, and administrative expenses in the accompanying unaudited Consolidated Statements of Income.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legal or administrative proceedings or investigations arising from the conduct of its business operations, including, but not limited to, contractual disputes; employment, personnel, or accessibility matters; personal injury and property damage claims; and claims by federal, state, and local regulatory authorities relating to the sale of products pursuant to licenses and permits issued by those authorities. Claims for damages in those actions may be substantial. While the outcome of such litigation, proceedings, investigations, or claims is never certain, it is management’s opinion, after taking into consideration legal counsel’s assessment and the availability of insurance proceeds and other collateral sources to cover potential losses, that the ultimate disposition of such matters currently pending or threatened, individually or cumulatively, will not have a material adverse effect on the Company’s accompanying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information about the Company’s revenue, significant segment expenses, and other segment items: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for the segment: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Fuel sales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464,305</w:t>
            </w:r>
          </w:p>
        </w:tc>
        <w:tc>
          <w:tcPr>
            <w:tcW w:w="18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Inside merchandise sales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683,630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600,318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fuel sales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 of merchandise sales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136,519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Payment fees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Repairs and maintenance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Facility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Other selling, general, and administrative expenses</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 (loss)</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80" w:hanging="330"/>
        <w:spacing w:after="0"/>
        <w:tabs>
          <w:tab w:leader="none" w:pos="3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selling, general, and administrative expenses primarily includes: utilities, insurance, supplies, and other operating expenses.</w:t>
      </w:r>
    </w:p>
    <w:p>
      <w:pPr>
        <w:spacing w:after="0" w:line="66" w:lineRule="exact"/>
        <w:rPr>
          <w:rFonts w:ascii="Times New Roman" w:cs="Times New Roman" w:eastAsia="Times New Roman" w:hAnsi="Times New Roman"/>
          <w:sz w:val="13"/>
          <w:szCs w:val="13"/>
          <w:color w:val="auto"/>
        </w:rPr>
      </w:pPr>
    </w:p>
    <w:p>
      <w:pPr>
        <w:ind w:left="380" w:hanging="330"/>
        <w:spacing w:after="0"/>
        <w:tabs>
          <w:tab w:leader="none" w:pos="3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 change in fair value of derivative liability and income tax expense.</w:t>
      </w: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had income tax expense attributable to earnings of $0 for each of the three months ended March 31, 2026, and March 31, 2025.</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March 31, 2026, and March 31, 2025, the Company has not recorded any amounts for uncertain tax positions. For the three months ended March 31, 2026, and the year ended December 31, 2025, no estimated interest or penalties were recognized on uncertain tax positions. The Company has made the proper elections and received approval for limited liability company status in the jurisdictions where it is required to do so. Additionally, the Company has filed IRS Form 1065 and Member schedule K-1s, as required, and all other applicable returns in jurisdictions where required.</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Final Payment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made the Final Payment of $18.4 million to the Continuing Equity Owners.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BW Ultimate Parent, LLC and Subsidiaries 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and Yesway, Inc. completed a series of transactions (the “Transactions”), including the following:</w:t>
      </w:r>
    </w:p>
    <w:p>
      <w:pPr>
        <w:spacing w:after="0" w:line="212" w:lineRule="exact"/>
        <w:rPr>
          <w:sz w:val="20"/>
          <w:szCs w:val="20"/>
          <w:color w:val="auto"/>
        </w:rPr>
      </w:pPr>
    </w:p>
    <w:p>
      <w:pPr>
        <w:jc w:val="both"/>
        <w:ind w:left="720" w:right="7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Yesway, Inc.’s certificate of incorporation was amended and restated to, among other things, (i) create a class of common stock designated as Class A common stock, with voting and economic rights, (ii) reclassify the existing shares of common stock into shares of Class A common stock, and (iii) create a class of common stock designated as Class B common stock, with voting rights but no economic rights;</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the Blocker Companies and issued to the Blocker Shareholders 15,085,561 shares of Class A common stock of the Company, and the Blocker Companies merged with and into Yesway, Inc.’s wholly owned merger subsidiaries, with Yesway, Inc.’s merger subsidiaries surviving;</w:t>
      </w:r>
    </w:p>
    <w:p>
      <w:pPr>
        <w:spacing w:after="0" w:line="16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32,009,185 shares of Class B common stock to the Continuing Equity Owners, which is equal to the number of LLC held directly or indirectly by such Continuing Equity Owners immediately prior to the IPO; and</w:t>
      </w:r>
    </w:p>
    <w:p>
      <w:pPr>
        <w:spacing w:after="0" w:line="16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limited liability agreement was amended and restated to, among other things, (i) recapitalize all existing ownership interests in the the Company into a single class of common units, (ii) exchange all of the then existing membership interests of the holders of the Company into LLC Interests, and (iii) appoint Yesway, Inc. as the sole managing member of the Company upon its acquisition of LLC Interests.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Immediately following the completion of the IPO and Transactions (and the use of proceeds therefrom), Yesway,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owned 49.3% of the LLC Interests and the original LLC interest holders owned the remaining 50.7% of the LLC interests.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23, 2026, Yesway, Inc. completed an initial public offering (“IPO”) by issuing 14,000,000 shares of Class A common stock at a price to the public of $20.00 per share. On April 27, 2026, Yesway, Inc. completed the sale of 2,100,000 shares of Class A common stock following the underwriters’ exercise in full of their overallotment option. From the IPO and exercise of the underwriters’ allotment, Yesway, Inc. received $301,070 in proceeds, net of underwriting discounts and commissions, which was used to purchase 16,100,000 LLC Interests.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Senior Preferred Membership Interests and Revolving Credit Facility</w:t>
      </w:r>
    </w:p>
    <w:p>
      <w:pPr>
        <w:spacing w:after="0" w:line="229" w:lineRule="exact"/>
        <w:rPr>
          <w:sz w:val="20"/>
          <w:szCs w:val="20"/>
          <w:color w:val="auto"/>
        </w:rPr>
      </w:pPr>
    </w:p>
    <w:p>
      <w:pPr>
        <w:jc w:val="both"/>
        <w:ind w:left="60" w:right="59"/>
        <w:spacing w:after="0" w:line="312" w:lineRule="auto"/>
        <w:rPr>
          <w:sz w:val="20"/>
          <w:szCs w:val="20"/>
          <w:color w:val="auto"/>
        </w:rPr>
      </w:pPr>
      <w:r>
        <w:rPr>
          <w:rFonts w:ascii="Times New Roman" w:cs="Times New Roman" w:eastAsia="Times New Roman" w:hAnsi="Times New Roman"/>
          <w:sz w:val="17"/>
          <w:szCs w:val="17"/>
          <w:color w:val="auto"/>
        </w:rPr>
        <w:t>Ultimate Parent utilized $251,524 of the proceeds it received from the sale of LLC Interests to Yesway, Inc. to fully redeem the Redeemable Senior Preferred Membership Interests and made a payment of $20,000 on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as well as the audited consolidated financial statements and notes thereto and the related Management’s Discussion and Analysis of Financial Condition and Results of Operations both of which are contained in our final prospectus (the “Prospectus”) dated April 21, 2026, as filed with the SEC on April 23, 2026, pursuant to Rule 424(b)(4) under the Securities Act of 1933, as amended (the “Securities Act”), for our initial public offering (the “IPO”).</w:t>
      </w:r>
    </w:p>
    <w:p>
      <w:pPr>
        <w:spacing w:after="0" w:line="15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 We assume no obligation to update any of these forward-looking statements.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Yesway is a U.S.-based convenience store operator that has rapidly grown since its inception in 2015. We operate our portfolio primarily under two successful brands, Yesway and Allsup’s. Our sites are differentiated through a leading foodservice offering, featuring Allsup’s famous deep-fried burrito, and a wide variety of high-quality grocery items and private-label products. Our geographic footprint consists of stores located in attractive rural and suburban markets across the Southwest and Midwest, where we often are the convenience retail destination of choice and, effectively, the local grocer. We have a successful track record of growing through new store development and 27 acquisitions and believe we are well-positioned to continue to solidify our market position and grow our store count.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Established in 2015 by Brookwood, a leading real estate-focused private equity firm, Yesway was built from the ground up by a team of seasoned industry veterans who brought decades of expertise and best practices to the convenience retailing industry. By leveraging our deep real estate knowledge and prioritizing data-driven decision-making, we have assembled a portfolio of highly accessible, customer-friendly sites through a combination of new store construction and strategic acquisition activity. This approach has enabled us to expand our portfolio in both existing and new markets, build brand density, and evolve our store formats to better serve our communities.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historical results of operations discussed in this section are those of the Company prior to the completion of the IPO, and do not reflect certain items that will affect our results of operations and financial condition after giving effect to the IPO and the use of proceeds from this offering.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Initial Public Offering and Transactions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April 2026, we completed our IPO in which we issued and sold 16,100,000 shares of Class A common stock (including 2,100,000 shares sold pursuant to the full exercise of the underwriters option to purchase additional shares) at an offering price of $20.00 per share, resulting in net proceeds of approximately $301.1 million after deducting underwriting discounts and commissions. We used the net proceeds to purchase 16,100,000 LLC Interests directly from Ultimate Parent at a price per unit equal to the initial public offering price per share of Class A common stock, less the underwriting discounts and commissions. Ultimate Parent used the net proceeds from the IPO to fully redeem the Redeemable Senior Preferred Membership Interests and make a payment of $10.0 million on its Revolving Credit Facility.</w:t>
      </w:r>
    </w:p>
    <w:p>
      <w:pPr>
        <w:spacing w:after="0" w:line="200" w:lineRule="exact"/>
        <w:rPr>
          <w:sz w:val="20"/>
          <w:szCs w:val="20"/>
          <w:color w:val="auto"/>
        </w:rPr>
      </w:pPr>
    </w:p>
    <w:p>
      <w:pPr>
        <w:spacing w:after="0" w:line="20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Prior to the IPO, including for the periods presented in this Quarterly Report, all of our business operations have been conducted through Ultimate Parent and its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consummated the following organizational transactions (the “Transactions”) in connection with the IPO:</w:t>
      </w:r>
    </w:p>
    <w:p>
      <w:pPr>
        <w:spacing w:after="0" w:line="27"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and restated Yesway, Inc.’s certificate of incorporation to, among other things, provide for</w:t>
      </w:r>
    </w:p>
    <w:p>
      <w:pPr>
        <w:spacing w:after="0" w:line="9" w:lineRule="exact"/>
        <w:rPr>
          <w:rFonts w:ascii="Times New Roman" w:cs="Times New Roman" w:eastAsia="Times New Roman" w:hAnsi="Times New Roman"/>
          <w:sz w:val="18"/>
          <w:szCs w:val="18"/>
          <w:color w:val="auto"/>
        </w:rPr>
      </w:pPr>
    </w:p>
    <w:p>
      <w:pPr>
        <w:jc w:val="both"/>
        <w:ind w:left="720" w:right="79" w:firstLine="5"/>
        <w:spacing w:after="0" w:line="250"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class of common stock to be designated as Class A common stock, with each share of our Class A common stock entitling its holder to one vote per share on all matters presented to our stockholders generally, (2) the reclassification of the existing shares of common stock into shares of Class A common stock, and (3) the creation of a class of common stock to be designated as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by means of one or more mergers, the Blocker Companies and issued to the Blocker Shareholders 15,085,561 shares of our Class A common stock and rights under the Tax Receivable Agreement;</w:t>
      </w:r>
    </w:p>
    <w:p>
      <w:pPr>
        <w:spacing w:after="0" w:line="19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32,009,185 shares of our Class B common stock to the Continuing Equity Owners, which was equal to the number of LLC Interests held directly or indirectly by such Continuing Equity Owners immediately following the Transactions, for nominal consideration;</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and restated the existing limited liability company agreement of Ultimate Parent to, among other things, (1) recapitalize all ownership interests in Ultimate Parent (including profits interests awarded under the existing limited liability company agreement of Ultimate Parent) into one class of LLC Interests and (2) appoint Yesway, Inc. as the sole managing member of Ultimate Parent upon its acquisition of LLC Interests in connection with the IPO;</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16,100,000 shares of our Class A common stock to the purchasers in this offering (including 2,100,000 shares sold pursuant to the full exercise of the underwriters’ option to purchase additional shares) in exchange for net proceeds, after taking into account the underwriting discounts and commissions of approximately $301.1 million;</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the Final Payment of $18.4 million to the Continuing Equity Owners; and</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Yesway, Inc. entered into (1) the Stockholders Agreement with Brookwood, (2) the Registration Rights Agreement with certain of the Continuing Equity Owners, and (3) the Tax Receivable Agreement with Ultimate Parent, the Continuing Equity Owners, and the Blocker Shareholders.</w:t>
      </w:r>
    </w:p>
    <w:p>
      <w:pPr>
        <w:spacing w:after="0" w:line="18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Following our IPO, as the sole managing member of Ultimate Parent, we operate and control all of the business and affairs of Ultimate Parent and, through Ultimate Parent and its direct and indirect subsidiaries, conduct our business. Yesway, Inc. has a minority economic interest in Ultimate Parent and will control the management of Ultimate Parent as its sole managing member. As a result, in future periods, Yesway, Inc. will consolidate Ultimate Parent and record a significant non-controlling interest in a consolidated entity in Yesway, Inc.’s consolidated financial statements for the economic interest in Ultimate Parent held by the Continuing Equity Owners.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Store Development Initiatives</w:t>
      </w:r>
    </w:p>
    <w:p>
      <w:pPr>
        <w:spacing w:after="0" w:line="229"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We believe our flexible real estate strategy will provide an opportunity for further growth by enabling us to introduce either Yesway or Allsup’s stores in new regions depending on the strength of brand recognition in each market. From April 1, 2025, through March 31, 2026, we opened ten new-to-industry stores, including one in 2026 and closed or sold four stores.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earn a disproportionate amount of our annual operating income in the second and third quarters as a result of the climate and seasonal travel and buying patterns of our customers. Inclement weather, especially in the Southwest and Midwest regions of the United States where our stores are located, can negatively impact our financial results. Variations in geography also makes seasonality curves different due to varied weather, fuel availability, and supply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Dispositions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historical results in this Quarterly Report include the performance of 29 operating stores in Iowa and Kansas. Following a strategic evaluation, we determined that these markets are no longer an optimal use of our operational focus and resources primarily due to impending uneconomic capital expenditures required by new regulations in Iowa. We expect the sale of these stores to close in 2026 and, given the immaterial contribution of these locations, do not anticipate meaningful dis-synergies. However, we believe exiting these markets will tighten our operational focus and simplify our supply chains and reinforce our brand presence in our core regions.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Store Count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Store count reflects the number of stores open at the end of a reporting period. The following table represents the roll forward of store count through the first quarter of fiscal 2026:</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beginning of period</w:t>
            </w:r>
          </w:p>
        </w:tc>
        <w:tc>
          <w:tcPr>
            <w:tcW w:w="5700" w:type="dxa"/>
            <w:vAlign w:val="bottom"/>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Opened</w:t>
            </w:r>
          </w:p>
        </w:tc>
        <w:tc>
          <w:tcPr>
            <w:tcW w:w="57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24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Stores, end of period </w:t>
            </w:r>
            <w:r>
              <w:rPr>
                <w:rFonts w:ascii="Times New Roman" w:cs="Times New Roman" w:eastAsia="Times New Roman" w:hAnsi="Times New Roman"/>
                <w:sz w:val="24"/>
                <w:szCs w:val="24"/>
                <w:color w:val="auto"/>
                <w:vertAlign w:val="superscript"/>
              </w:rPr>
              <w:t>(1)</w:t>
            </w:r>
          </w:p>
        </w:tc>
        <w:tc>
          <w:tcPr>
            <w:tcW w:w="57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0"/>
        </w:trPr>
        <w:tc>
          <w:tcPr>
            <w:tcW w:w="22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55" w:lineRule="exact"/>
        <w:rPr>
          <w:sz w:val="20"/>
          <w:szCs w:val="20"/>
          <w:color w:val="auto"/>
        </w:rPr>
      </w:pPr>
    </w:p>
    <w:p>
      <w:pPr>
        <w:jc w:val="both"/>
        <w:ind w:left="380" w:right="79" w:hanging="330"/>
        <w:spacing w:after="0" w:line="183" w:lineRule="auto"/>
        <w:tabs>
          <w:tab w:leader="none" w:pos="380" w:val="left"/>
        </w:tabs>
        <w:numPr>
          <w:ilvl w:val="0"/>
          <w:numId w:val="3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3"/>
          <w:szCs w:val="13"/>
          <w:color w:val="auto"/>
        </w:rPr>
        <w:t>Results for the periods above include 29 stores in Iowa and Kansas, which we expect to sell by the end of 2026 and, given the immaterial contribution of these locations, do not anticipate meaningful dis-synergies. However, we believe exiting these markets will tighten our operational focus, simplify our supply chains, and reinforce our brand presence in our core regions. Excluding these 29 locations, our store portfolio as of March 31, 2026, consisted of 420 stores, including 419 convenience stores and one liquor store.</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Fuel Profitability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and the retail fuel industry, has experienced historically high average revenue less cost of goods sold per gallon (exclusive of depreciation and amortization). Although this has remained relatively consistent, on a longer-term basis, this metric can fluctuate significantly, and sometimes unpredictably, in the short term. While the Company believes that its average revenue less cost of goods sold per gallon (exclusive of depreciation and amortization) will remain elevated from historical levels for the foreseeable future, it is possible that increased oil and fuel prices, higher interest rates, macroeconomic conditions and/or continuing conflicts or disruptions involving oil producing countries may materially impact the performance of this metric.</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Fuel sales less cost of goods sold (exclusive of depreciation and amortization) increased 48.6% for the three months ended March 31, 2026, as compared to the same period in 2025, primarily due to an increase in fuel margin to an average 49.4 cents per gallon (“cpg”) for the three months ended March 31, 2026, from 35.9 cpg in the same period in 2025. The increase in fuel margin contributed approximately 84% of the increase in fuel sales less cost of goods sold (exclusive of depreciation and amortization), with the remaining 16% attributable to the approximately 10.7 million gallon increase in fuel volume. The increase in fuel margin primarily reflects changes in market supply and demand dynamics, wholesale fuel price levels and volatility, local competition, and the timing lag between changes in wholesale fuel costs and corresponding retail price adjustments, which were influenced by recent geopolitical developments in the Middle East. These factors are highly interrelated and are not separately quantified by us in a manner that permits us to determine with reasonable precision the individual impact of each factor.</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2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 Three months ended March 31,</w:t>
            </w:r>
          </w:p>
        </w:tc>
      </w:tr>
      <w:tr>
        <w:trPr>
          <w:trHeight w:val="142"/>
        </w:trPr>
        <w:tc>
          <w:tcPr>
            <w:tcW w:w="65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for margins on the basis of cpg)</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color w:val="auto"/>
              </w:rPr>
              <w:t>2025</w:t>
            </w: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Gallons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Sales less cost of goods sold (exclusive of depreciation and amortization)</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Margin (cpg)</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Inside Merchandise Profitability</w:t>
      </w:r>
    </w:p>
    <w:p>
      <w:pPr>
        <w:spacing w:after="0" w:line="22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Inside merchandise sales less cost of goods sold (exclusive of depreciation and amortization) increased by 15.9% from $66.6 million for the three months ended March 31, 2025, to $77.2 million for the three months ended March 31, 2026, primarily due to higher inside merchandise sales resulting from net store growth, and pricing actions taken during 2025, together with an approximately 196 basis point improvement in inside merchandise margin. The increase in inside merchandise margin was primarily driven by pricing actions taken during 2025 and in the first quarter of 2026, as well as shifts in product mix, which increased average selling price per unit by 4.1% and contributed approximately 233 basis points to margin expansion, partially offset by a 1.0% increase in average cost per unit, which reduced margin by approximately 37 basis points.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percentages)</w:t>
            </w: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Three months ended March 31,</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Inside Merchandise Sales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Inside merchandise sales less cost of goods sold (exclusive of depreciation and</w:t>
            </w:r>
          </w:p>
        </w:tc>
        <w:tc>
          <w:tcPr>
            <w:tcW w:w="8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Inside Merchandise Margin</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Same-Store Comparison</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below table reflects the changes in fuel gallons, fuel sales less cost of goods sold (exclusive of depreciation and amortization), inside merchandise sales, inside merchandise sales less cost of goods sold (exclusive of depreciation and amortization), and total inside merchandise sales and fuel sales less cost of goods sold (exclusive of depreciation and amortization) year-over-year for the same-store base. We define the same-store base for a given period as all owned or leased stores that were open for the entirety of that period in both the current and prior years. This measure highlights the performance of existing stores, while excluding the impact of new store openings and closures as well as acquisitions and divestitures.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2026</w:t>
            </w:r>
          </w:p>
        </w:tc>
        <w:tc>
          <w:tcPr>
            <w:tcW w:w="3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Same-Store Comparison by Category</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Fuel Gallons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 less cost of goods sold (exclusive of depreciation and amortization) (1)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Inside Merchandise Sales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67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Inside merchandise sales less cost of goods sold (exclusive of depreciation and</w:t>
            </w:r>
          </w:p>
        </w:tc>
        <w:tc>
          <w:tcPr>
            <w:tcW w:w="200" w:type="dxa"/>
            <w:vAlign w:val="bottom"/>
            <w:vMerge w:val="restart"/>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(2)</w:t>
            </w:r>
          </w:p>
        </w:tc>
        <w:tc>
          <w:tcPr>
            <w:tcW w:w="20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inside merchandise and fuel sales less cost of goods sold (exclusive of depreciation</w:t>
            </w: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00" w:type="dxa"/>
            <w:vAlign w:val="bottom"/>
            <w:gridSpan w:val="2"/>
            <w:vMerge w:val="continue"/>
          </w:tcPr>
          <w:p>
            <w:pPr>
              <w:spacing w:after="0"/>
              <w:rPr>
                <w:sz w:val="15"/>
                <w:szCs w:val="15"/>
                <w:color w:val="auto"/>
              </w:rPr>
            </w:pPr>
          </w:p>
        </w:tc>
        <w:tc>
          <w:tcPr>
            <w:tcW w:w="200" w:type="dxa"/>
            <w:vAlign w:val="bottom"/>
            <w:vMerge w:val="restart"/>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21.8 %</w:t>
            </w:r>
          </w:p>
        </w:tc>
        <w:tc>
          <w:tcPr>
            <w:tcW w:w="1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2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80" w:right="79" w:hanging="330"/>
        <w:spacing w:after="0" w:line="184" w:lineRule="auto"/>
        <w:tabs>
          <w:tab w:leader="none" w:pos="380" w:val="left"/>
        </w:tabs>
        <w:numPr>
          <w:ilvl w:val="0"/>
          <w:numId w:val="36"/>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Fuel sales less cost of goods sold (exclusive of depreciation and amortization) for the Iowa and Kansas stores were $1.1 million and $0.9 million in the three months ended March 31, 2026, and March 31, 2025, respectively.</w:t>
      </w:r>
    </w:p>
    <w:p>
      <w:pPr>
        <w:spacing w:after="0" w:line="1" w:lineRule="exact"/>
        <w:rPr>
          <w:rFonts w:ascii="Times New Roman" w:cs="Times New Roman" w:eastAsia="Times New Roman" w:hAnsi="Times New Roman"/>
          <w:sz w:val="23"/>
          <w:szCs w:val="23"/>
          <w:color w:val="auto"/>
          <w:vertAlign w:val="subscript"/>
        </w:rPr>
      </w:pPr>
    </w:p>
    <w:p>
      <w:pPr>
        <w:ind w:left="380" w:right="79" w:hanging="330"/>
        <w:spacing w:after="0"/>
        <w:tabs>
          <w:tab w:leader="none" w:pos="380" w:val="left"/>
        </w:tabs>
        <w:numPr>
          <w:ilvl w:val="0"/>
          <w:numId w:val="36"/>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Inside merchandise sales for the Iowa and Kansas stores were $5.4 million and $5.7 million in the three months ended March 31, 2026, and March 31, 2025, respectively.</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the Three Months Ended March 31,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Revenue was $683.6 million for the three months ended March 31, 2026, an increase of $83.3 million, or 13.9%, compared to the three months ended March 31, 2025. This increase was primarily attributable to an increase in fuel sales of $64.1 million, or 16.0%, and an increase in inside merchandise sales of $18.6 million, or 9.5%. Fuel sales increased due to $34.5 million of incremental fuel sales from new stores and $30.2 million, or 7.6%, due to same-store fuel sales, primarily attributable to a 22 cent, or 7.5%, increase in the average price per gallon of fuel. The increase in average price per gallon primarily reflected higher fuel prices associated with volatility in fuel markets following recent geopolitical developments in the Middle East. These factors are highly interrelated and are not separately quantified by us in a manner that permits us to determine with reasonable precision the individual impact of each factor. Inside merchandise sales increased due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$10.6 million of incremental sales from new stores and $8.7 million attributable to a 4.5% increase in same-store sales, partially offset by $0.7 million decrease due to closed stores.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 (exclusive of depreciation and amortization)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Cost of goods sold (exclusive of depreciation and amortization) was $529.2 million for the three months ended March 31, 2026, an increase of $48.8 million, or 10.1%, compared to the three months ended March 31, 2025. This increase was attributable to $8.0 million of higher inside merchandise cost of goods sold (exclusive of depreciation and amortization), primarily resulting from the related increase in inside merchandise sales, and $40.7 million increase of higher fuel cost of goods sold (exclusive of depreciation and amortization). The increase in fuel cost of goods sold (exclusive of depreciation and amortization) was driven by a $28.0 million increase associated with higher fuel gallons sold and $12.7 million increase resulting from a 3.3% increase in the average per-gallon cost of fuel. The increase in average per gallon cost of fuel primarily reflects changes in market supply and demand dynamics, wholesale fuel price levels, and volatility, which were influenced by recent geopolitical developments in the Middle East.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Salaries and Employee Benefits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Salaries and employee benefits increased by $0.6 million, or 1.3%, for the three months ended March 31, 2026, compared to the three months ended March 31, 2025. Of this increase, $2.0 million was related to new stores, partially offset by $1.0 million decrease in same store costs due to better labor scheduling.</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$0.6 million, or 1.2%, for the three months ended March 31, 2026, compared to the three months ended March 31, 2025. This increase was primarily driven by a $2.6 million increase in facility expenses for new build-to-suit activity, partially offset by a $1.9 million decrease for IPO related costs incurred and acquisition expenses compared to the three months ended March 31, 2025. Approximately $1.8 million of IPO related costs incurred during the three months ended March 31, 2026, were capitalized as the IPO was determined to be likely.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Depreciation, Amortization, and Accretion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amortization, and accretion expense increased by $0.5 million, or 3.0%, for the three months ended March 31, 2026, compared to the three months ended March 31, 2025. This increase was due primarily to capital expenditures for new stores.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 Loss on Disposal of Assets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Gain on disposal of assets decreased by $0.7 million for the three months ended March 31, 2026, compared to the three months ended March 31, 2025. This decrease was due primarily to sales of miscellaneous real estate assets.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expense, net decreased by $2.3 million for the three months ended March 31, 2026, compared to the three months ended March 31, 2025. The decrease in interest expense, net was primarily due to a reduction in our outstanding borrowings under our Revolving Credit Facility and a reduction in interest rates. The weighted average interest rate on outstanding borrowings was 7.24% for the three months ended March 31, 2026, and 7.91% for the three months ended March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 in fair value of derivative liability was $0.0 million for the three months ended March 31, 2026, compared to $1.3 million in the three months ended March 31, 2025. Fair value of $0 was primarily due to timing as the probability of near team payoff of the Redeemable Senior Preferred Membership Interests increased.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use non-GAAP financial measures, such as Adjusted EBITDA and Store Contribution, to supplement financial information presented in accordance with GAAP. We believe that excluding certain items from our GAAP results allows management to better understand our consolidated financial performance, in the case of Adjusted EBITDA, and the direct performance of our stores, in the case of Store Contribution,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performance and enabling them to make more meaningful period to period comparisons. There are limitations to the use of the non-GAAP financial measures presented in this Quarterly Report. For example, our non-GAAP financial measures may not be comparable to similarly titled measures of other companies. Additionally, Store Contribution excludes costs that we incur on an enterprise level that while essential in supporting our store operations, are not directly related to store operations, and that we believe result in efficiencies of scale and confer other benefits across our business. Other companies, including companies in our industry, may calculate non-GAAP financial measures differently than we do, limiting the usefulness of those measures for comparative purposes.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We define Adjusted EBITDA, a non-GAAP measure, as net income (loss) before change in fair value of derivative liability, interest expense, net, income tax expense, depreciation, amortization and accretion, loss (gain) on disposal of assets, long-lived asset impairment, acquisition, financing, integration, and stock-based compensation costs. Adjusted EBITDA may not be comparable to similarly titled metrics of other companies due to differences in methods of calculation.</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tcBorders>
            <w:gridSpan w:val="3"/>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financing, and integration costs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20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increases from the three months ended March 31, 2025, to the three months ended March 31, 2026, were primarily attributable to increases in fuel gallons and inside merchandise sales from new stores and the increase in fuel margin and inside merchandise margin, partially offset by higher operating expenses from new stores.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Store Contribution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define Store Contribution, a non-GAAP measure, as income (loss) from operations before depreciation, amortization and accretion, loss (gain) on disposal of assets, impairment, acquisition financing, integration, and stock-based compensation costs, and overhead expenses directly attributed to support staff and corporate offices that, while essential in supporting our store operations, are not directly related to store operations. The excluded overhead expenses include:</w:t>
      </w:r>
    </w:p>
    <w:p>
      <w:pPr>
        <w:spacing w:after="0" w:line="180"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benefits: the costs associated with corporate officers, senior management, and back office staff;</w:t>
      </w:r>
    </w:p>
    <w:p>
      <w:pPr>
        <w:spacing w:after="0" w:line="27"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expenses: all costs associated with maintaining corporate offices, including rent, real estate taxes, utilities and telecommunications;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61"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audit, accounting, and consulting service fees, third party legal fees, payroll processing fees for corporate payroll, and recruiting fees for corporate staff;</w:t>
      </w:r>
    </w:p>
    <w:p>
      <w:pPr>
        <w:ind w:left="720" w:right="79" w:hanging="319"/>
        <w:spacing w:after="0" w:line="25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advertising costs: retainers and fees for public relations and advertising firms related to overall Company brand and marketing that is not directly related to a store;</w:t>
      </w:r>
    </w:p>
    <w:p>
      <w:pPr>
        <w:ind w:left="720" w:right="79" w:hanging="319"/>
        <w:spacing w:after="0" w:line="25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software and hardware: software and hardware costs associated with corporate officers, senior management, and back office staff;</w:t>
      </w: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costs: costs for office supplies for corporate staff;</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and maintenance costs: costs related to supplies and equipment for corporate employees and corporate offices;</w:t>
      </w:r>
    </w:p>
    <w:p>
      <w:pPr>
        <w:ind w:left="720" w:right="79" w:hanging="319"/>
        <w:spacing w:after="0" w:line="25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and travel expenses: expenses associated with travel by corporate personnel and corporate meetings, trainings, and events;</w:t>
      </w:r>
    </w:p>
    <w:p>
      <w:pPr>
        <w:ind w:left="720" w:right="79" w:hanging="319"/>
        <w:spacing w:after="0" w:line="25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 costs associated with maintaining insurance policies related to corporate offices and staff; in contrast, individual stores are separately allocated insurance expenses for applicable premiums; and</w:t>
      </w:r>
    </w:p>
    <w:p>
      <w:pPr>
        <w:ind w:left="720" w:right="79" w:hanging="319"/>
        <w:spacing w:after="0" w:line="26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expenses: costs related primarily to bank fees, equipment rental, membership dues for retail/fuel associations and charitable contributions.</w:t>
      </w:r>
    </w:p>
    <w:p>
      <w:pPr>
        <w:spacing w:after="0" w:line="1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Store Contribution may not be comparable to similarly titled metrics of other companies due to differences in methods of calculation. Additionally, Store Contribution excludes costs that we incur on an enterprise level that while essential in supporting our store operations, are not directly related to store operations, and that we believe result in efficiencies of scale and confer other benefits across our business. As a result of the exclusion of these enterprise-level expenses from our presentation of Store Contribution, our presentation of Store Contribution is not, and should not be construed as, indicative of our overall results.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contains a reconciliation of income from operations to Store Contribution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March 31, 2025, respectively:</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financing, and integration costs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Overhead expenses: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Facility expense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Repairs and maintenance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Meetings and travel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overhead expenses</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Store Contribution (1)</w:t>
            </w:r>
          </w:p>
        </w:tc>
        <w:tc>
          <w:tcPr>
            <w:tcW w:w="2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80" w:right="79" w:hanging="330"/>
        <w:spacing w:after="0" w:line="256" w:lineRule="auto"/>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Store Contribution generated by the 29 stores in Iowa and Kansas was $0.2 million and $0.1 million in the three months ended March 31, 2026, and March 31, 2025, respectively.</w:t>
      </w:r>
    </w:p>
    <w:p>
      <w:pPr>
        <w:spacing w:after="0" w:line="25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increase from the three months ended March 31, 2025, to the three months ended March 31, 2026, was primarily attributable to higher fuel volumes and merchandise sales due to an increase in store count and a higher concentration of new stores.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generated from store operations, financing proceeds, our Revolving Credit Facility, and capital raises. Our primary cash needs are for capital expenditures, working capital, and to meet debt service requirements. As of March 31, 2026, we had an outstanding debt balance of $430.5 million, consisting of $390.5 million and $40.0 million outstanding under our Term Loan Facility and Revolving Credit Facility, respectively.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capital expenditures are primarily related to new store development and ongoing store maintenance and improvements.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plan to invest approximately $50 million to $70 million on new store developments in fiscal year 2026.</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other store facilities costs, distribution costs, and general and administrative costs. Our working capital requirements fluctuate during the year, driven primarily by the timing of opportunistic inventory purchases and new store openings and the inherent seasonality of our business.</w:t>
      </w:r>
    </w:p>
    <w:p>
      <w:pPr>
        <w:spacing w:after="0" w:line="13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our cash and cash equivalents position and the $106.9 million remaining available on our Revolving Credit Facility as of March 31, 2026, along with our expected net cash to be provided by operating activities and capital raises, will be sufficient to satisfy the working capital needs of our business for at least the next 12 months. If cash provided by operating activities and borrowings under our Revolving Credit Facility are not sufficient or available to meet our capital requirements, then we will be required to obtain additional equity or debt financings in the future. There can be no assurance equity or debt financings will be available to us when we need it or, if available, the terms will be satisfactory to us and not dilutive to our then-current stockholders.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we are obligated to make payments under the Tax Receivable Agreement. Although the actual timing and amount of any payments that we make to the Continuing Equity Owners and the Blocker Shareholders under the Tax Receivable Agreement will vary, we expect that the payments will be significant. Any payments we make to Continuing Equity Owners and the Blocker Shareholders under the Tax Receivable Agreement will generally reduce the amount of overall cash flow that would have otherwise been available to us or to Ultimate Parent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w:t>
      </w:r>
    </w:p>
    <w:p>
      <w:pPr>
        <w:spacing w:after="0" w:line="14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we do not have sufficient funds to pay tax or other liabilities or to fund our operations (as a result of Ultimate Parent’s inability to make distributions due to various limitations and restrictions or as a result of the acceleration of our obligations under the Tax Receivable Agreement), we may have to raise additional capital, including by borrowing funds under our Revolving Credit Facility or future debt agreements. Additional capital may not be available on preferable terms, or, in the case of borrowing funds under our Revolving Credit Facility or future debt agreement, could materially and adversely affect our cash flow, liquidity and financial condition, and subject us to various restrictions imposed by any lenders of such funds. In addition, if Ultimate Parent does not have sufficient funds to make distributions, our ability to declare and pay cash dividends will also be restricted or impaired.</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Debt Facilities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debt, including both the current and long-term portions of our outstanding debt, financing obligations, and finance lease liabilities, net of debt discounts and debt issuance costs, decreased by $9.9 million to $649.5 million as of March 31, 2026, compared to $659.4 million as of December 31, 2025, primarily as a result of a lower outstanding balance on the Revolving Credit Facility.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2026, our outstanding debt, financing obligations, and finance lease liabilities, including current maturities, net of debt discounts and debt issuance costs, consisted of:</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March 31, 2026</w:t>
            </w:r>
          </w:p>
        </w:tc>
        <w:tc>
          <w:tcPr>
            <w:tcW w:w="0" w:type="dxa"/>
            <w:vAlign w:val="bottom"/>
          </w:tcPr>
          <w:p>
            <w:pPr>
              <w:spacing w:after="0"/>
              <w:rPr>
                <w:sz w:val="1"/>
                <w:szCs w:val="1"/>
                <w:color w:val="auto"/>
              </w:rPr>
            </w:pPr>
          </w:p>
        </w:tc>
      </w:tr>
      <w:tr>
        <w:trPr>
          <w:trHeight w:val="142"/>
        </w:trPr>
        <w:tc>
          <w:tcPr>
            <w:tcW w:w="7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 net of debt discounts and debt issuance costs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78"/>
        </w:trPr>
        <w:tc>
          <w:tcPr>
            <w:tcW w:w="76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debt, including financing obligations and finance lease liabilities, net of debt discounts and debt</w:t>
            </w:r>
          </w:p>
        </w:tc>
        <w:tc>
          <w:tcPr>
            <w:tcW w:w="3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649.5</w:t>
            </w:r>
          </w:p>
        </w:tc>
        <w:tc>
          <w:tcPr>
            <w:tcW w:w="0" w:type="dxa"/>
            <w:vAlign w:val="bottom"/>
          </w:tcPr>
          <w:p>
            <w:pPr>
              <w:spacing w:after="0"/>
              <w:rPr>
                <w:sz w:val="1"/>
                <w:szCs w:val="1"/>
                <w:color w:val="auto"/>
              </w:rPr>
            </w:pPr>
          </w:p>
        </w:tc>
      </w:tr>
      <w:tr>
        <w:trPr>
          <w:trHeight w:val="22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3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more information on our debt facilities, see “Description of Indebtedness” in our Prospectus.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of $48.4 million during the three months ended March 31, 2026, increased $34.8 million compared to net cash provided by operating activities during the three months ended March 31, 2025. The increase was primarily due to an increase in net cash provided by new stores of approximately $2.1 million and by same stores of approximately $29.3 million primarily driven by higher gross profit, partially offset by a decrement of approximately $1.7 million in working capital needs. The decrement in working capital was partially attributable to a reduction in build-to-suit activity, as we had six fewer stores under construction at March 31, 2026, than at March 31, 2025. Specifically, a change in other current assets of $10.3 million due to the timing of collections of unbilled constructed assets expected to be reimbursed by landlords and a reduction of $5.7 million in non-trade accounts payables and accrued expenses and other current liabilities primarily attributable to lower construction-related payables from stores under construction. Construction costs incurred under our build-to-suit program are recorded as other current assets and reflected in operating cash flows because such amounts are expected to be reimbursed by landlords and do not represent investments in Company owned long-lived assets. Also contributing to the decrement in working capital needs was an increase in accounts receivable of $5.6 million primarily attributable to increased credit card sales, an increase in inventory of $8.5 million due to six more stores being open as of March 31, 2026, compared to March 31, 2025, as well as the higher cost of fuel inventory, and an increase in other assets of $1.8 million attributable to IPO costs. These decreases in working capital performance were partially offset by an increase of approximately $30.7 million attributable to increased accounts payable for fuel.</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of $13.5 million decreased $12.7 million compared to net cash used in investing activities during the three months ended March 31, 2025, primarily due to the construction and opening of one new-to-industry store in the first quarter of 2026 compared with four new-to-industry stores opening during the first quarter of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2026, of $15.0 million decreased $26.1 million compared to net cash provided by financing activities during the year ended March 31, 2025, primarily attributable to lower net borrowings under the Revolving Credit Facility of $25.0 million, resulting from reduced borrowings and higher repayments.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recently adopted and not yet adopted, see the notes to the unaudited condensed consolidated financial statements included elsewhere in this Quarterly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factors.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believe that our most critical accounting estimates are: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evaluate tangible assets that are being amortized for impairment whenever events or changes in circumstances indicate that the carrying amount of the asset may not be recoverable. If the sum of the expected future undiscounted cash flows is less than the carrying amount of the assets, an impairment loss is recognized to the extent the carrying value of the assets exceeds their estimated fair value.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 estimates involve highly subjective judgements of the price that would be received to sell an asset in an orderly transaction between market participants. Management derives its estimate from recent offers, actual sales or dispositions of assets, and other indications of fair value, which are considered Level 3 inputs. Adjustments may be required to these market-based inputs based on internal projections and knowledge of our operations, historical performance, and trends in sales and operating costs. If our estimates or underlying assumptions change in the future, our operating results may be materially impacted.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Leased Properties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enter into build-to-suit arrangements for construction of new stores. We hire certified real estate appraisers to estimate the fair value of these properties upon lease commencement to determine whether the leases qualify as operating leases. Determinations of fair value estimates involve subjective judgements. We provide the appraisers with estimated total construction costs based on project bids, contractor agreements, and anticipated project scope changes, building site plans, and financial projections which are used in their analysis. The appraisals comply with the Uniform Standards of Professional Appraisal Practice and are prepared using three methods: (1) Cost Approach, (2) Sales Comparison Approach, and (3) Income Capitalization Approach, with the Income Capitalization Approach considered the most appropriate. If the estimated fair value or underlying assumptions are inaccurate, the leases would be characterized as financing leases on our balance sheet rather than operating leases.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a variety of sources, including changes in interest rates and commodity prices. Our market risk exposures related to interest rates and commodity prices are discussed below.</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may be subject to market risk from exposure to changes in interest rates based on our financing, investing, and cash management activities. For the majority of the debt, interest is calculated at a fixed margin over SOFR; therefore, we are exposed to price risks associated with interest rates. Interest rates on commercial bank borrowings and debt offerings could be higher than current levels, causing our financing costs to increase accordingly. The interest rate associated with our Revolving Credit Facility decreased from 7.42% as of March 31, 2025, to 6.17% as of March 31, 2026. The interest rate associated with our Term Loan Facility decreased from 7.94% as of March 31, 2025, to 7.28% as of March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this could limit our ability to raise funds in the debt capital markets and impact our ability to pass along increased interest to our customers, we expect to remain competitive with respect to acquisitions and capital projects, as our competitors would likely face similar circumstances.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limited exposure to commodity price risk as a result of the payment and volume-related discounts in certain of our fuel supply contracts with fuel suppliers, which are based on the market price of fuel. Significant increases in fuel prices could result in significant increases in the retail price of fuel and in lower sales to consumers and dealers. A significant percentage of our sales are made with the use of credit cards. Because the interchange fees we pay when credit cards are used to make purchases are based on transaction amounts, higher fuel prices at the pump and higher gallon movement result in higher credit card expenses. These additional fees increase operating expenses.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(principal executive officer) and Chief Financial Officer (principal financial officer), we conducted an evaluation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at the reasonable assurance level as of March 31,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either asserted or unasserted, which arise in the ordinary course of business. While the outcome of these matters cannot be predicted with certainty, we do not believe that the outcome of any of these matters, individually or in the aggregate, will have a material adverse effect on our consolidated financial condition, results of operations, or cash flows. Refer to Part I. Item 1. Note 11, “Commitments and Contingencies” of “Notes to unaudited Condensed Consolidated Financial Statements”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For a detailed discussion of the risks that affect our business, please refer to the section titled “Risk Factors” in Yesway, Inc.’s final prospectus dated April 23, 2026, and filed with the SEC on April 23, 2026. There have been no material changes to our risk factors as previously disclosed in the Prospectus.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April 21, 2026, the SEC declared effective our registration statement on Form S-1 (File No. 333-294679), as amended, filed in connection with our initial public offering and we filed an additional registration on Form S-1 (File No. 333-295225) that was automatically effective upon its filing, which we collectively refer to as the Registration Statements. Pursuant to the Registration Statements, we registered the offer and sale of 16,100,000 shares of our Class A common stock (including 2,100,000 shares sold pursuant to the full exercise of the underwriters’ option to purchase additional shares). Morgan Stanley &amp; Co. LLC, J.P. Morgan Securities LLC, and Goldman Sachs &amp; Co. LLC acted as representatives of the underwriters for the offering. Pursuant to the Registration Statements, we issued and sold 16,100,000 shares of our common stock at a price to the public of $20.00 per share, for which we received net proceeds of approximately $288.1 million, after deducting the underwriting discounts of $20.9 million and offering expenses payable by us of $13.0 million. The offering commenced on April 21, 2026, and terminated after the sale of all securities registered pursuant to the Registration Statements. No payments for such expenses were made directly or indirectly to (i) any of our officers or directors or their associates, (ii) any persons owning 10% or more of any class of our equity securities, or (iii) any of our affiliates.</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used the net proceeds to purchase 16,100,000 LLC Interests directly from Ultimate Parent at a price per unit equal to the price per share of Class A common stock in the IPO, less the underwriting discount. Ultimate Parent used the net proceeds from the IPO to fully redeem the Redeemable Senior Preferred Membership Interests and make a payment of $10.0 million on its Revolving Credit Facility and intends to use the remainder to pay down existing indebtedness and for general corporate purposes to support the growth of the business.</w:t>
      </w:r>
    </w:p>
    <w:p>
      <w:pPr>
        <w:spacing w:after="0" w:line="14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initial public offering as described in our final prospectus, dated April 21, 2026, filed with the SEC pursuant to Rule 424(b) relating to our Registration Statement.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left="1040" w:right="139" w:hanging="315"/>
        <w:spacing w:after="0" w:line="255"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 K.</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36830</wp:posOffset>
            </wp:positionV>
            <wp:extent cx="2219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60" w:type="dxa"/>
            <w:vAlign w:val="bottom"/>
          </w:tcPr>
          <w:p>
            <w:pPr>
              <w:spacing w:after="0"/>
              <w:rPr>
                <w:sz w:val="18"/>
                <w:szCs w:val="18"/>
                <w:color w:val="auto"/>
              </w:rPr>
            </w:pPr>
          </w:p>
        </w:tc>
        <w:tc>
          <w:tcPr>
            <w:tcW w:w="2980" w:type="dxa"/>
            <w:vAlign w:val="bottom"/>
            <w:gridSpan w:val="9"/>
          </w:tcPr>
          <w:p>
            <w:pPr>
              <w:ind w:left="360"/>
              <w:spacing w:after="0"/>
              <w:rPr>
                <w:sz w:val="20"/>
                <w:szCs w:val="20"/>
                <w:color w:val="auto"/>
              </w:rPr>
            </w:pPr>
            <w:r>
              <w:rPr>
                <w:rFonts w:ascii="Times New Roman" w:cs="Times New Roman" w:eastAsia="Times New Roman" w:hAnsi="Times New Roman"/>
                <w:sz w:val="14"/>
                <w:szCs w:val="14"/>
                <w:color w:val="auto"/>
              </w:rPr>
              <w:t>Exhibit Description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File No.</w:t>
            </w: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Exhibit</w:t>
            </w:r>
          </w:p>
        </w:tc>
        <w:tc>
          <w:tcPr>
            <w:tcW w:w="150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Filing Date</w:t>
            </w:r>
          </w:p>
        </w:tc>
      </w:tr>
      <w:tr>
        <w:trPr>
          <w:trHeight w:val="23"/>
        </w:trPr>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4040" w:type="dxa"/>
            <w:vAlign w:val="bottom"/>
            <w:gridSpan w:val="10"/>
          </w:tcPr>
          <w:p>
            <w:pPr>
              <w:spacing w:after="0"/>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Amended and Restated Certificate of Incorporation of Yesway, Inc.</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001-43243</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50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4/27/2026</w:t>
            </w: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27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Amended and Restated Bylaws of Yesway, Inc.</w:t>
              </w:r>
            </w:hyperlink>
          </w:p>
        </w:tc>
        <w:tc>
          <w:tcPr>
            <w:tcW w:w="1140" w:type="dxa"/>
            <w:vAlign w:val="bottom"/>
            <w:tcBorders>
              <w:top w:val="single" w:sz="8" w:color="0000EE"/>
            </w:tcBorders>
            <w:gridSpan w:val="7"/>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001-43243</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50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4/27/2026</w:t>
            </w: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378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Stock Certificate evidencing the shares of Class A common stock</w:t>
              </w:r>
            </w:hyperlink>
          </w:p>
        </w:tc>
        <w:tc>
          <w:tcPr>
            <w:tcW w:w="260" w:type="dxa"/>
            <w:vAlign w:val="bottom"/>
            <w:gridSpan w:val="3"/>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333-259699</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50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9/21/2021</w:t>
            </w:r>
          </w:p>
        </w:tc>
      </w:tr>
      <w:tr>
        <w:trPr>
          <w:trHeight w:val="236"/>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4040" w:type="dxa"/>
            <w:vAlign w:val="bottom"/>
            <w:gridSpan w:val="10"/>
          </w:tcPr>
          <w:p>
            <w:pPr>
              <w:spacing w:after="0"/>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t xml:space="preserve">Tax </w:t>
            </w:r>
            <w:hyperlink r:id="rId103">
              <w:r>
                <w:rPr>
                  <w:rFonts w:ascii="Times New Roman" w:cs="Times New Roman" w:eastAsia="Times New Roman" w:hAnsi="Times New Roman"/>
                  <w:sz w:val="14"/>
                  <w:szCs w:val="14"/>
                  <w:color w:val="0000EE"/>
                </w:rPr>
                <w:t>Receivable Agreement, dated April 21, 2026, by and among</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001-43243</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0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4/27/2026</w:t>
            </w:r>
          </w:p>
        </w:tc>
      </w:tr>
      <w:tr>
        <w:trPr>
          <w:trHeight w:val="183"/>
        </w:trPr>
        <w:tc>
          <w:tcPr>
            <w:tcW w:w="94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Yesway, Inc., BW Ultimate Parent, LLC, the TRA Parties, the</w:t>
              </w:r>
            </w:hyperlink>
          </w:p>
        </w:tc>
        <w:tc>
          <w:tcPr>
            <w:tcW w:w="140" w:type="dxa"/>
            <w:vAlign w:val="bottom"/>
            <w:tcBorders>
              <w:top w:val="single" w:sz="8" w:color="0000EE"/>
            </w:tcBorders>
          </w:tcPr>
          <w:p>
            <w:pPr>
              <w:spacing w:after="0"/>
              <w:rPr>
                <w:sz w:val="15"/>
                <w:szCs w:val="15"/>
                <w:color w:val="auto"/>
              </w:rPr>
            </w:pPr>
          </w:p>
        </w:tc>
        <w:tc>
          <w:tcPr>
            <w:tcW w:w="32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4040" w:type="dxa"/>
            <w:vAlign w:val="bottom"/>
            <w:gridSpan w:val="10"/>
          </w:tcPr>
          <w:p>
            <w:pPr>
              <w:spacing w:after="0"/>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Brookwood Nominee, and each of the other Persons from time to</w:t>
              </w:r>
            </w:hyperlink>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9"/>
        </w:trPr>
        <w:tc>
          <w:tcPr>
            <w:tcW w:w="940" w:type="dxa"/>
            <w:vAlign w:val="bottom"/>
          </w:tcPr>
          <w:p>
            <w:pPr>
              <w:spacing w:after="0"/>
              <w:rPr>
                <w:sz w:val="14"/>
                <w:szCs w:val="14"/>
                <w:color w:val="auto"/>
              </w:rPr>
            </w:pPr>
          </w:p>
        </w:tc>
        <w:tc>
          <w:tcPr>
            <w:tcW w:w="3760" w:type="dxa"/>
            <w:vAlign w:val="bottom"/>
            <w:tcBorders>
              <w:top w:val="single" w:sz="8" w:color="0000EE"/>
            </w:tcBorders>
            <w:gridSpan w:val="6"/>
          </w:tcPr>
          <w:p>
            <w:pPr>
              <w:spacing w:after="0"/>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time party thereto.</w:t>
              </w:r>
            </w:hyperlink>
          </w:p>
        </w:tc>
        <w:tc>
          <w:tcPr>
            <w:tcW w:w="2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4040" w:type="dxa"/>
            <w:vAlign w:val="bottom"/>
            <w:gridSpan w:val="10"/>
          </w:tcPr>
          <w:p>
            <w:pPr>
              <w:spacing w:after="0"/>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Fourth Amended and Restated Limited Liability Company</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001-43243</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50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4/27/2026</w:t>
            </w:r>
          </w:p>
        </w:tc>
      </w:tr>
      <w:tr>
        <w:trPr>
          <w:trHeight w:val="20"/>
        </w:trPr>
        <w:tc>
          <w:tcPr>
            <w:tcW w:w="940" w:type="dxa"/>
            <w:vAlign w:val="bottom"/>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384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Agreement of BW Ultimate Parent, LLC, dated April 21, 2026, by</w:t>
              </w:r>
            </w:hyperlink>
          </w:p>
        </w:tc>
        <w:tc>
          <w:tcPr>
            <w:tcW w:w="2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31" w:lineRule="exact"/>
        <w:rPr>
          <w:sz w:val="20"/>
          <w:szCs w:val="20"/>
          <w:color w:val="auto"/>
        </w:rPr>
      </w:pPr>
    </w:p>
    <w:p>
      <w:pPr>
        <w:ind w:left="980"/>
        <w:spacing w:after="0"/>
        <w:rPr>
          <w:rFonts w:ascii="Times New Roman" w:cs="Times New Roman" w:eastAsia="Times New Roman" w:hAnsi="Times New Roman"/>
          <w:sz w:val="14"/>
          <w:szCs w:val="14"/>
          <w:u w:val="single" w:color="auto"/>
          <w:color w:val="0000EE"/>
        </w:rPr>
      </w:pPr>
      <w:hyperlink r:id="rId104">
        <w:r>
          <w:rPr>
            <w:rFonts w:ascii="Times New Roman" w:cs="Times New Roman" w:eastAsia="Times New Roman" w:hAnsi="Times New Roman"/>
            <w:sz w:val="14"/>
            <w:szCs w:val="14"/>
            <w:u w:val="single" w:color="auto"/>
            <w:color w:val="0000EE"/>
          </w:rPr>
          <w:t>and among BW Ultimate Parent, LLC, Yesway, Inc. and the other</w:t>
        </w:r>
      </w:hyperlink>
    </w:p>
    <w:p>
      <w:pPr>
        <w:spacing w:after="0" w:line="28" w:lineRule="exact"/>
        <w:rPr>
          <w:sz w:val="20"/>
          <w:szCs w:val="20"/>
          <w:color w:val="auto"/>
        </w:rPr>
      </w:pPr>
    </w:p>
    <w:p>
      <w:pPr>
        <w:ind w:left="980"/>
        <w:spacing w:after="0"/>
        <w:rPr>
          <w:rFonts w:ascii="Times New Roman" w:cs="Times New Roman" w:eastAsia="Times New Roman" w:hAnsi="Times New Roman"/>
          <w:sz w:val="14"/>
          <w:szCs w:val="14"/>
          <w:u w:val="single" w:color="auto"/>
          <w:color w:val="0000EE"/>
        </w:rPr>
      </w:pPr>
      <w:hyperlink r:id="rId104">
        <w:r>
          <w:rPr>
            <w:rFonts w:ascii="Times New Roman" w:cs="Times New Roman" w:eastAsia="Times New Roman" w:hAnsi="Times New Roman"/>
            <w:sz w:val="14"/>
            <w:szCs w:val="14"/>
            <w:u w:val="single" w:color="auto"/>
            <w:color w:val="0000EE"/>
          </w:rPr>
          <w:t>Members.</w:t>
        </w:r>
      </w:hyperlink>
    </w:p>
    <w:p>
      <w:pPr>
        <w:sectPr>
          <w:pgSz w:w="11900" w:h="16838" w:orient="portrait"/>
          <w:cols w:equalWidth="0" w:num="1">
            <w:col w:w="9019"/>
          </w:cols>
          <w:pgMar w:left="1440" w:top="513" w:right="1440" w:bottom="1440" w:gutter="0" w:footer="0" w:header="0"/>
        </w:sectPr>
      </w:pPr>
    </w:p>
    <w:p>
      <w:pPr>
        <w:spacing w:after="0" w:line="96" w:lineRule="exact"/>
        <w:rPr>
          <w:sz w:val="20"/>
          <w:szCs w:val="20"/>
          <w:color w:val="auto"/>
        </w:rPr>
      </w:pPr>
    </w:p>
    <w:p>
      <w:pPr>
        <w:ind w:left="980" w:right="360" w:hanging="654"/>
        <w:spacing w:after="0" w:line="332" w:lineRule="auto"/>
        <w:tabs>
          <w:tab w:leader="none" w:pos="9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w:t>
      </w:r>
      <w:r>
        <w:rPr>
          <w:sz w:val="20"/>
          <w:szCs w:val="20"/>
          <w:color w:val="auto"/>
        </w:rPr>
        <w:tab/>
      </w:r>
      <w:hyperlink r:id="rId105">
        <w:r>
          <w:rPr>
            <w:rFonts w:ascii="Times New Roman" w:cs="Times New Roman" w:eastAsia="Times New Roman" w:hAnsi="Times New Roman"/>
            <w:sz w:val="14"/>
            <w:szCs w:val="14"/>
            <w:u w:val="single" w:color="auto"/>
            <w:color w:val="0000EE"/>
          </w:rPr>
          <w:t>Stockholders Agreement, dated April 21, 2026, by and among</w:t>
        </w:r>
      </w:hyperlink>
      <w:r>
        <w:rPr>
          <w:rFonts w:ascii="Times New Roman" w:cs="Times New Roman" w:eastAsia="Times New Roman" w:hAnsi="Times New Roman"/>
          <w:sz w:val="14"/>
          <w:szCs w:val="14"/>
          <w:u w:val="single" w:color="auto"/>
          <w:color w:val="0000EE"/>
        </w:rPr>
        <w:t xml:space="preserve"> </w:t>
      </w:r>
      <w:hyperlink r:id="rId105">
        <w:r>
          <w:rPr>
            <w:rFonts w:ascii="Times New Roman" w:cs="Times New Roman" w:eastAsia="Times New Roman" w:hAnsi="Times New Roman"/>
            <w:sz w:val="14"/>
            <w:szCs w:val="14"/>
            <w:u w:val="single" w:color="auto"/>
            <w:color w:val="0000EE"/>
          </w:rPr>
          <w:t>Yesway, Inc. and the Brookwood Parties.</w:t>
        </w:r>
      </w:hyperlink>
    </w:p>
    <w:p>
      <w:pPr>
        <w:ind w:left="980" w:hanging="618"/>
        <w:spacing w:after="0" w:line="322" w:lineRule="auto"/>
        <w:tabs>
          <w:tab w:leader="none" w:pos="9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w:t>
      </w:r>
      <w:r>
        <w:rPr>
          <w:sz w:val="20"/>
          <w:szCs w:val="20"/>
          <w:color w:val="auto"/>
        </w:rPr>
        <w:tab/>
      </w:r>
      <w:hyperlink r:id="rId106">
        <w:r>
          <w:rPr>
            <w:rFonts w:ascii="Times New Roman" w:cs="Times New Roman" w:eastAsia="Times New Roman" w:hAnsi="Times New Roman"/>
            <w:sz w:val="14"/>
            <w:szCs w:val="14"/>
            <w:u w:val="single" w:color="auto"/>
            <w:color w:val="0000EE"/>
          </w:rPr>
          <w:t>Registration Rights Agreement, dated April 21, 2026, by and among</w:t>
        </w:r>
      </w:hyperlink>
      <w:r>
        <w:rPr>
          <w:rFonts w:ascii="Times New Roman" w:cs="Times New Roman" w:eastAsia="Times New Roman" w:hAnsi="Times New Roman"/>
          <w:sz w:val="14"/>
          <w:szCs w:val="14"/>
          <w:u w:val="single" w:color="auto"/>
          <w:color w:val="0000EE"/>
        </w:rPr>
        <w:t xml:space="preserve"> </w:t>
      </w:r>
      <w:hyperlink r:id="rId106">
        <w:r>
          <w:rPr>
            <w:rFonts w:ascii="Times New Roman" w:cs="Times New Roman" w:eastAsia="Times New Roman" w:hAnsi="Times New Roman"/>
            <w:sz w:val="14"/>
            <w:szCs w:val="14"/>
            <w:u w:val="single" w:color="auto"/>
            <w:color w:val="0000EE"/>
          </w:rPr>
          <w:t>Yesway, Inc. and each other Person identified on the Schedule of</w:t>
        </w:r>
      </w:hyperlink>
      <w:r>
        <w:rPr>
          <w:rFonts w:ascii="Times New Roman" w:cs="Times New Roman" w:eastAsia="Times New Roman" w:hAnsi="Times New Roman"/>
          <w:sz w:val="14"/>
          <w:szCs w:val="14"/>
          <w:u w:val="single" w:color="auto"/>
          <w:color w:val="0000EE"/>
        </w:rPr>
        <w:t xml:space="preserve"> </w:t>
      </w:r>
      <w:hyperlink r:id="rId106">
        <w:r>
          <w:rPr>
            <w:rFonts w:ascii="Times New Roman" w:cs="Times New Roman" w:eastAsia="Times New Roman" w:hAnsi="Times New Roman"/>
            <w:sz w:val="14"/>
            <w:szCs w:val="14"/>
            <w:u w:val="single" w:color="auto"/>
            <w:color w:val="0000EE"/>
          </w:rPr>
          <w:t>Holders attached thereto.</w:t>
        </w:r>
      </w:hyperlink>
    </w:p>
    <w:p>
      <w:pPr>
        <w:ind w:left="380"/>
        <w:spacing w:after="0"/>
        <w:tabs>
          <w:tab w:leader="none" w:pos="9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10.5</w:t>
      </w:r>
      <w:r>
        <w:rPr>
          <w:sz w:val="20"/>
          <w:szCs w:val="20"/>
          <w:color w:val="auto"/>
        </w:rPr>
        <w:tab/>
      </w:r>
      <w:hyperlink r:id="rId107">
        <w:r>
          <w:rPr>
            <w:rFonts w:ascii="Times New Roman" w:cs="Times New Roman" w:eastAsia="Times New Roman" w:hAnsi="Times New Roman"/>
            <w:sz w:val="14"/>
            <w:szCs w:val="14"/>
            <w:u w:val="single" w:color="auto"/>
            <w:color w:val="0000EE"/>
          </w:rPr>
          <w:t>Yesway, Inc. 2026 Incentive Award Plan.</w:t>
        </w:r>
      </w:hyperlink>
    </w:p>
    <w:p>
      <w:pPr>
        <w:spacing w:after="0" w:line="109" w:lineRule="exact"/>
        <w:rPr>
          <w:rFonts w:ascii="Times New Roman" w:cs="Times New Roman" w:eastAsia="Times New Roman" w:hAnsi="Times New Roman"/>
          <w:sz w:val="14"/>
          <w:szCs w:val="14"/>
          <w:u w:val="single" w:color="auto"/>
          <w:color w:val="0000EE"/>
        </w:rPr>
      </w:pPr>
    </w:p>
    <w:p>
      <w:pPr>
        <w:ind w:left="380"/>
        <w:spacing w:after="0"/>
        <w:tabs>
          <w:tab w:leader="none" w:pos="9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10.6</w:t>
      </w:r>
      <w:r>
        <w:rPr>
          <w:sz w:val="20"/>
          <w:szCs w:val="20"/>
          <w:color w:val="auto"/>
        </w:rPr>
        <w:tab/>
      </w:r>
      <w:hyperlink r:id="rId108">
        <w:r>
          <w:rPr>
            <w:rFonts w:ascii="Times New Roman" w:cs="Times New Roman" w:eastAsia="Times New Roman" w:hAnsi="Times New Roman"/>
            <w:sz w:val="14"/>
            <w:szCs w:val="14"/>
            <w:u w:val="single" w:color="auto"/>
            <w:color w:val="0000EE"/>
          </w:rPr>
          <w:t>Yesway, Inc. 2026 Employee Stock Purchase Plan.</w:t>
        </w:r>
      </w:hyperlink>
    </w:p>
    <w:p>
      <w:pPr>
        <w:spacing w:after="0" w:line="109" w:lineRule="exact"/>
        <w:rPr>
          <w:rFonts w:ascii="Times New Roman" w:cs="Times New Roman" w:eastAsia="Times New Roman" w:hAnsi="Times New Roman"/>
          <w:sz w:val="14"/>
          <w:szCs w:val="14"/>
          <w:u w:val="single" w:color="auto"/>
          <w:color w:val="0000EE"/>
        </w:rPr>
      </w:pPr>
    </w:p>
    <w:p>
      <w:pPr>
        <w:ind w:left="380"/>
        <w:spacing w:after="0"/>
        <w:tabs>
          <w:tab w:leader="none" w:pos="9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10.7</w:t>
      </w:r>
      <w:r>
        <w:rPr>
          <w:sz w:val="20"/>
          <w:szCs w:val="20"/>
          <w:color w:val="auto"/>
        </w:rPr>
        <w:tab/>
      </w:r>
      <w:hyperlink r:id="rId109">
        <w:r>
          <w:rPr>
            <w:rFonts w:ascii="Times New Roman" w:cs="Times New Roman" w:eastAsia="Times New Roman" w:hAnsi="Times New Roman"/>
            <w:sz w:val="14"/>
            <w:szCs w:val="14"/>
            <w:u w:val="single" w:color="auto"/>
            <w:color w:val="0000EE"/>
          </w:rPr>
          <w:t>Form of Option Agreement under 2026 Incentive Award Plan.</w:t>
        </w:r>
      </w:hyperlink>
    </w:p>
    <w:p>
      <w:pPr>
        <w:spacing w:after="0" w:line="109" w:lineRule="exact"/>
        <w:rPr>
          <w:rFonts w:ascii="Times New Roman" w:cs="Times New Roman" w:eastAsia="Times New Roman" w:hAnsi="Times New Roman"/>
          <w:sz w:val="14"/>
          <w:szCs w:val="14"/>
          <w:u w:val="single" w:color="auto"/>
          <w:color w:val="0000EE"/>
        </w:rPr>
      </w:pPr>
    </w:p>
    <w:p>
      <w:pPr>
        <w:ind w:left="980" w:right="40" w:hanging="618"/>
        <w:spacing w:after="0" w:line="332" w:lineRule="auto"/>
        <w:tabs>
          <w:tab w:leader="none" w:pos="9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10.8</w:t>
      </w:r>
      <w:r>
        <w:rPr>
          <w:sz w:val="20"/>
          <w:szCs w:val="20"/>
          <w:color w:val="auto"/>
        </w:rPr>
        <w:tab/>
      </w:r>
      <w:hyperlink r:id="rId110">
        <w:r>
          <w:rPr>
            <w:rFonts w:ascii="Times New Roman" w:cs="Times New Roman" w:eastAsia="Times New Roman" w:hAnsi="Times New Roman"/>
            <w:sz w:val="14"/>
            <w:szCs w:val="14"/>
            <w:u w:val="single" w:color="auto"/>
            <w:color w:val="0000EE"/>
          </w:rPr>
          <w:t>Form of Restricted Stock Unit Agreement under the 2026 Incentive</w:t>
        </w:r>
      </w:hyperlink>
      <w:r>
        <w:rPr>
          <w:rFonts w:ascii="Times New Roman" w:cs="Times New Roman" w:eastAsia="Times New Roman" w:hAnsi="Times New Roman"/>
          <w:sz w:val="14"/>
          <w:szCs w:val="14"/>
          <w:u w:val="single" w:color="auto"/>
          <w:color w:val="0000EE"/>
        </w:rPr>
        <w:t xml:space="preserve"> </w:t>
      </w:r>
      <w:hyperlink r:id="rId110">
        <w:r>
          <w:rPr>
            <w:rFonts w:ascii="Times New Roman" w:cs="Times New Roman" w:eastAsia="Times New Roman" w:hAnsi="Times New Roman"/>
            <w:sz w:val="14"/>
            <w:szCs w:val="14"/>
            <w:u w:val="single" w:color="auto"/>
            <w:color w:val="0000EE"/>
          </w:rPr>
          <w:t>Award Plan.</w:t>
        </w:r>
      </w:hyperlink>
    </w:p>
    <w:p>
      <w:pPr>
        <w:ind w:left="980" w:right="260" w:hanging="618"/>
        <w:spacing w:after="0" w:line="332" w:lineRule="auto"/>
        <w:tabs>
          <w:tab w:leader="none" w:pos="9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10.9</w:t>
      </w:r>
      <w:r>
        <w:rPr>
          <w:sz w:val="20"/>
          <w:szCs w:val="20"/>
          <w:color w:val="auto"/>
        </w:rPr>
        <w:tab/>
      </w:r>
      <w:hyperlink r:id="rId111">
        <w:r>
          <w:rPr>
            <w:rFonts w:ascii="Times New Roman" w:cs="Times New Roman" w:eastAsia="Times New Roman" w:hAnsi="Times New Roman"/>
            <w:sz w:val="14"/>
            <w:szCs w:val="14"/>
            <w:u w:val="single" w:color="auto"/>
            <w:color w:val="0000EE"/>
          </w:rPr>
          <w:t>Form of Performance Stock Unit Award Agreement under 2026</w:t>
        </w:r>
      </w:hyperlink>
      <w:r>
        <w:rPr>
          <w:rFonts w:ascii="Times New Roman" w:cs="Times New Roman" w:eastAsia="Times New Roman" w:hAnsi="Times New Roman"/>
          <w:sz w:val="14"/>
          <w:szCs w:val="14"/>
          <w:u w:val="single" w:color="auto"/>
          <w:color w:val="0000EE"/>
        </w:rPr>
        <w:t xml:space="preserve"> </w:t>
      </w:r>
      <w:hyperlink r:id="rId111">
        <w:r>
          <w:rPr>
            <w:rFonts w:ascii="Times New Roman" w:cs="Times New Roman" w:eastAsia="Times New Roman" w:hAnsi="Times New Roman"/>
            <w:sz w:val="14"/>
            <w:szCs w:val="14"/>
            <w:u w:val="single" w:color="auto"/>
            <w:color w:val="0000EE"/>
          </w:rPr>
          <w:t>Incentive Award Plan.</w:t>
        </w:r>
      </w:hyperlink>
    </w:p>
    <w:p>
      <w:pPr>
        <w:ind w:left="340"/>
        <w:spacing w:after="0"/>
        <w:tabs>
          <w:tab w:leader="none" w:pos="960" w:val="left"/>
        </w:tabs>
        <w:rPr>
          <w:sz w:val="20"/>
          <w:szCs w:val="20"/>
          <w:color w:val="auto"/>
        </w:rPr>
      </w:pPr>
      <w:r>
        <w:rPr>
          <w:rFonts w:ascii="Times New Roman" w:cs="Times New Roman" w:eastAsia="Times New Roman" w:hAnsi="Times New Roman"/>
          <w:sz w:val="14"/>
          <w:szCs w:val="14"/>
          <w:color w:val="auto"/>
        </w:rPr>
        <w:t>10.10</w:t>
      </w:r>
      <w:r>
        <w:rPr>
          <w:sz w:val="20"/>
          <w:szCs w:val="20"/>
          <w:color w:val="auto"/>
        </w:rPr>
        <w:tab/>
      </w:r>
      <w:r>
        <w:rPr>
          <w:rFonts w:ascii="Times New Roman" w:cs="Times New Roman" w:eastAsia="Times New Roman" w:hAnsi="Times New Roman"/>
          <w:sz w:val="14"/>
          <w:szCs w:val="14"/>
          <w:u w:val="single" w:color="auto"/>
          <w:color w:val="0000EE"/>
        </w:rPr>
        <w:t>Non-Employee Director Compensation Policy</w:t>
      </w:r>
    </w:p>
    <w:p>
      <w:pPr>
        <w:spacing w:after="0" w:line="109"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4"/>
          <w:szCs w:val="14"/>
          <w:color w:val="auto"/>
        </w:rPr>
        <w:t>10.11</w:t>
      </w:r>
      <w:r>
        <w:rPr>
          <w:sz w:val="20"/>
          <w:szCs w:val="20"/>
          <w:color w:val="auto"/>
        </w:rPr>
        <w:tab/>
      </w:r>
      <w:r>
        <w:rPr>
          <w:rFonts w:ascii="Times New Roman" w:cs="Times New Roman" w:eastAsia="Times New Roman" w:hAnsi="Times New Roman"/>
          <w:sz w:val="14"/>
          <w:szCs w:val="14"/>
          <w:u w:val="single" w:color="auto"/>
          <w:color w:val="0000EE"/>
        </w:rPr>
        <w:t>Amended and Restated Offer Letter by and between Yesway, Inc.</w:t>
      </w:r>
    </w:p>
    <w:p>
      <w:pPr>
        <w:spacing w:after="0" w:line="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0000EE"/>
        </w:rPr>
        <w:t>and Thomas N. Trkla.</w:t>
      </w:r>
    </w:p>
    <w:p>
      <w:pPr>
        <w:spacing w:after="0" w:line="8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4"/>
          <w:szCs w:val="14"/>
          <w:color w:val="auto"/>
        </w:rPr>
        <w:t>10.12</w:t>
      </w:r>
      <w:r>
        <w:rPr>
          <w:sz w:val="20"/>
          <w:szCs w:val="20"/>
          <w:color w:val="auto"/>
        </w:rPr>
        <w:tab/>
      </w:r>
      <w:r>
        <w:rPr>
          <w:rFonts w:ascii="Times New Roman" w:cs="Times New Roman" w:eastAsia="Times New Roman" w:hAnsi="Times New Roman"/>
          <w:sz w:val="14"/>
          <w:szCs w:val="14"/>
          <w:u w:val="single" w:color="auto"/>
          <w:color w:val="0000EE"/>
        </w:rPr>
        <w:t>Amended and Restated Offer Letter by and between Yesway, Inc.</w:t>
      </w:r>
    </w:p>
    <w:p>
      <w:pPr>
        <w:spacing w:after="0" w:line="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0000EE"/>
        </w:rPr>
        <w:t>and Ericka L. Ayles.</w:t>
      </w:r>
    </w:p>
    <w:p>
      <w:pPr>
        <w:spacing w:after="0" w:line="8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4"/>
          <w:szCs w:val="14"/>
          <w:color w:val="auto"/>
        </w:rPr>
        <w:t>10.13</w:t>
      </w:r>
      <w:r>
        <w:rPr>
          <w:sz w:val="20"/>
          <w:szCs w:val="20"/>
          <w:color w:val="auto"/>
        </w:rPr>
        <w:tab/>
      </w:r>
      <w:r>
        <w:rPr>
          <w:rFonts w:ascii="Times New Roman" w:cs="Times New Roman" w:eastAsia="Times New Roman" w:hAnsi="Times New Roman"/>
          <w:sz w:val="14"/>
          <w:szCs w:val="14"/>
          <w:u w:val="single" w:color="auto"/>
          <w:color w:val="0000EE"/>
        </w:rPr>
        <w:t>Amended and Restated Offer Letter by and between Yesway, Inc.</w:t>
      </w:r>
    </w:p>
    <w:p>
      <w:pPr>
        <w:spacing w:after="0" w:line="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0000EE"/>
        </w:rPr>
        <w:t>and Kurt M. Zernich.</w:t>
      </w:r>
    </w:p>
    <w:p>
      <w:pPr>
        <w:spacing w:after="0" w:line="8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4"/>
          <w:szCs w:val="14"/>
          <w:color w:val="auto"/>
        </w:rPr>
        <w:t>10.14</w:t>
      </w:r>
      <w:r>
        <w:rPr>
          <w:sz w:val="20"/>
          <w:szCs w:val="20"/>
          <w:color w:val="auto"/>
        </w:rPr>
        <w:tab/>
      </w:r>
      <w:r>
        <w:rPr>
          <w:rFonts w:ascii="Times New Roman" w:cs="Times New Roman" w:eastAsia="Times New Roman" w:hAnsi="Times New Roman"/>
          <w:sz w:val="14"/>
          <w:szCs w:val="14"/>
          <w:u w:val="single" w:color="auto"/>
          <w:color w:val="0000EE"/>
        </w:rPr>
        <w:t>Amended and Restated Executive Severance Plan.</w:t>
      </w:r>
    </w:p>
    <w:p>
      <w:pPr>
        <w:spacing w:after="0" w:line="123" w:lineRule="exact"/>
        <w:rPr>
          <w:sz w:val="20"/>
          <w:szCs w:val="20"/>
          <w:color w:val="auto"/>
        </w:rPr>
      </w:pPr>
    </w:p>
    <w:p>
      <w:pPr>
        <w:ind w:left="980" w:right="360" w:hanging="618"/>
        <w:spacing w:after="0" w:line="362" w:lineRule="auto"/>
        <w:tabs>
          <w:tab w:leader="none" w:pos="96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EE"/>
        </w:rPr>
        <w:t>Certification of Chief Executive Officer pursuant to Rule 13a-14(a)/15d-14(a).</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001-43243</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4/27/2026</w:t>
            </w:r>
          </w:p>
        </w:tc>
      </w:tr>
      <w:tr>
        <w:trPr>
          <w:trHeight w:val="44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001-43243</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4/27/2026</w:t>
            </w:r>
          </w:p>
        </w:tc>
      </w:tr>
      <w:tr>
        <w:trPr>
          <w:trHeight w:val="64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S-8</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333-295303</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4/24/2026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S-8</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333-295303</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4/24/2026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333-294679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3/27/2026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333-294679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3/27/2026</w:t>
            </w:r>
          </w:p>
        </w:tc>
      </w:tr>
      <w:tr>
        <w:trPr>
          <w:trHeight w:val="44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333-294679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3/27/2026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25" w:lineRule="exact"/>
        <w:rPr>
          <w:sz w:val="20"/>
          <w:szCs w:val="20"/>
          <w:color w:val="auto"/>
        </w:rPr>
      </w:pPr>
    </w:p>
    <w:p>
      <w:pPr>
        <w:sectPr>
          <w:pgSz w:w="11900" w:h="16838" w:orient="portrait"/>
          <w:cols w:equalWidth="0" w:num="3">
            <w:col w:w="4920" w:space="320"/>
            <w:col w:w="3000" w:space="440"/>
            <w:col w:w="339"/>
          </w:cols>
          <w:pgMar w:left="1440" w:top="513" w:right="1440" w:bottom="1440" w:gutter="0" w:footer="0" w:header="0"/>
          <w:type w:val="continuous"/>
        </w:sectPr>
      </w:pPr>
    </w:p>
    <w:tbl>
      <w:tblPr>
        <w:tblLayout w:type="fixed"/>
        <w:tblInd w:w="380" w:type="dxa"/>
        <w:tblCellMar>
          <w:top w:w="0" w:type="dxa"/>
          <w:left w:w="0" w:type="dxa"/>
          <w:bottom w:w="0" w:type="dxa"/>
          <w:right w:w="0" w:type="dxa"/>
        </w:tblCellMar>
      </w:tblPr>
      <w:tr>
        <w:trPr>
          <w:trHeight w:val="158"/>
        </w:trPr>
        <w:tc>
          <w:tcPr>
            <w:tcW w:w="600" w:type="dxa"/>
            <w:vAlign w:val="bottom"/>
          </w:tcPr>
          <w:p>
            <w:pPr>
              <w:jc w:val="right"/>
              <w:ind w:right="288"/>
              <w:spacing w:after="0" w:line="158" w:lineRule="exact"/>
              <w:rPr>
                <w:sz w:val="20"/>
                <w:szCs w:val="20"/>
                <w:color w:val="auto"/>
              </w:rPr>
            </w:pPr>
            <w:r>
              <w:rPr>
                <w:rFonts w:ascii="Times New Roman" w:cs="Times New Roman" w:eastAsia="Times New Roman" w:hAnsi="Times New Roman"/>
                <w:sz w:val="14"/>
                <w:szCs w:val="14"/>
                <w:color w:val="auto"/>
                <w:w w:val="89"/>
              </w:rPr>
              <w:t>31.2</w:t>
            </w:r>
          </w:p>
        </w:tc>
        <w:tc>
          <w:tcPr>
            <w:tcW w:w="5620" w:type="dxa"/>
            <w:vAlign w:val="bottom"/>
            <w:gridSpan w:val="5"/>
          </w:tcPr>
          <w:p>
            <w:pPr>
              <w:spacing w:after="0" w:line="158" w:lineRule="exact"/>
              <w:rPr>
                <w:sz w:val="20"/>
                <w:szCs w:val="20"/>
                <w:color w:val="auto"/>
              </w:rPr>
            </w:pPr>
            <w:r>
              <w:rPr>
                <w:rFonts w:ascii="Times New Roman" w:cs="Times New Roman" w:eastAsia="Times New Roman" w:hAnsi="Times New Roman"/>
                <w:sz w:val="14"/>
                <w:szCs w:val="14"/>
                <w:color w:val="0000EE"/>
              </w:rPr>
              <w:t>Certification of Chief Financial Officer pursuant to Rule 13a-</w:t>
            </w:r>
          </w:p>
        </w:tc>
        <w:tc>
          <w:tcPr>
            <w:tcW w:w="21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r>
      <w:tr>
        <w:trPr>
          <w:trHeight w:val="196"/>
        </w:trPr>
        <w:tc>
          <w:tcPr>
            <w:tcW w:w="60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14(a)/15d-14(a).</w:t>
            </w:r>
          </w:p>
        </w:tc>
        <w:tc>
          <w:tcPr>
            <w:tcW w:w="2580" w:type="dxa"/>
            <w:vAlign w:val="bottom"/>
            <w:tcBorders>
              <w:top w:val="single" w:sz="8" w:color="0000EE"/>
            </w:tcBorders>
          </w:tcPr>
          <w:p>
            <w:pPr>
              <w:spacing w:after="0"/>
              <w:rPr>
                <w:sz w:val="17"/>
                <w:szCs w:val="17"/>
                <w:color w:val="auto"/>
              </w:rPr>
            </w:pPr>
          </w:p>
        </w:tc>
        <w:tc>
          <w:tcPr>
            <w:tcW w:w="208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r>
      <w:tr>
        <w:trPr>
          <w:trHeight w:val="250"/>
        </w:trPr>
        <w:tc>
          <w:tcPr>
            <w:tcW w:w="6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9"/>
              </w:rPr>
              <w:t>32.1</w:t>
            </w:r>
          </w:p>
        </w:tc>
        <w:tc>
          <w:tcPr>
            <w:tcW w:w="3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Certification of Chief Executive Officer pursuant to 18 U.S.C.</w:t>
            </w:r>
          </w:p>
        </w:tc>
        <w:tc>
          <w:tcPr>
            <w:tcW w:w="20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00" w:type="dxa"/>
            <w:vAlign w:val="bottom"/>
          </w:tcPr>
          <w:p>
            <w:pPr>
              <w:spacing w:after="0"/>
              <w:rPr>
                <w:sz w:val="17"/>
                <w:szCs w:val="17"/>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Section 1350.</w:t>
            </w:r>
          </w:p>
        </w:tc>
        <w:tc>
          <w:tcPr>
            <w:tcW w:w="21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13"/>
                <w:szCs w:val="13"/>
                <w:color w:val="auto"/>
              </w:rPr>
            </w:pPr>
          </w:p>
        </w:tc>
        <w:tc>
          <w:tcPr>
            <w:tcW w:w="3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Certification of Chief Financial Officer pursuant to 18 U.S.C.</w:t>
            </w:r>
          </w:p>
        </w:tc>
        <w:tc>
          <w:tcPr>
            <w:tcW w:w="2240" w:type="dxa"/>
            <w:vAlign w:val="bottom"/>
          </w:tcPr>
          <w:p>
            <w:pPr>
              <w:spacing w:after="0"/>
              <w:rPr>
                <w:sz w:val="13"/>
                <w:szCs w:val="13"/>
                <w:color w:val="auto"/>
              </w:rPr>
            </w:pPr>
          </w:p>
        </w:tc>
        <w:tc>
          <w:tcPr>
            <w:tcW w:w="2000" w:type="dxa"/>
            <w:vAlign w:val="bottom"/>
          </w:tcPr>
          <w:p>
            <w:pPr>
              <w:jc w:val="center"/>
              <w:ind w:left="1788"/>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Section 1350.</w:t>
            </w:r>
          </w:p>
        </w:tc>
        <w:tc>
          <w:tcPr>
            <w:tcW w:w="200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80"/>
        </w:trPr>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101.INS</w:t>
            </w: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w:t>
            </w:r>
          </w:p>
        </w:tc>
        <w:tc>
          <w:tcPr>
            <w:tcW w:w="2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40" w:type="dxa"/>
            <w:vAlign w:val="bottom"/>
          </w:tcPr>
          <w:p>
            <w:pPr>
              <w:spacing w:after="0"/>
              <w:rPr>
                <w:sz w:val="18"/>
                <w:szCs w:val="18"/>
                <w:color w:val="auto"/>
              </w:rPr>
            </w:pP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appear in the Interactive Data File because its XBRL tags are</w:t>
            </w:r>
          </w:p>
        </w:tc>
        <w:tc>
          <w:tcPr>
            <w:tcW w:w="20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2000" w:type="dxa"/>
            <w:vAlign w:val="bottom"/>
          </w:tcPr>
          <w:p>
            <w:pPr>
              <w:spacing w:after="0"/>
              <w:rPr>
                <w:sz w:val="18"/>
                <w:szCs w:val="18"/>
                <w:color w:val="auto"/>
              </w:rPr>
            </w:pPr>
          </w:p>
        </w:tc>
      </w:tr>
      <w:tr>
        <w:trPr>
          <w:trHeight w:val="270"/>
        </w:trPr>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101.SCH</w:t>
            </w: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101.CAL</w:t>
            </w: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101.DEF</w:t>
            </w: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101.LAB</w:t>
            </w: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101.PRE</w:t>
            </w: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104</w:t>
            </w: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w:t>
            </w:r>
          </w:p>
        </w:tc>
        <w:tc>
          <w:tcPr>
            <w:tcW w:w="200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40" w:type="dxa"/>
            <w:vAlign w:val="bottom"/>
          </w:tcPr>
          <w:p>
            <w:pPr>
              <w:spacing w:after="0"/>
              <w:rPr>
                <w:sz w:val="18"/>
                <w:szCs w:val="18"/>
                <w:color w:val="auto"/>
              </w:rPr>
            </w:pP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contained in Exhibit 101)</w:t>
            </w:r>
          </w:p>
        </w:tc>
        <w:tc>
          <w:tcPr>
            <w:tcW w:w="20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160655</wp:posOffset>
            </wp:positionV>
            <wp:extent cx="31375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940" w:hanging="480"/>
        <w:spacing w:after="0"/>
        <w:tabs>
          <w:tab w:leader="none" w:pos="9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09" w:lineRule="exact"/>
        <w:rPr>
          <w:sz w:val="20"/>
          <w:szCs w:val="20"/>
          <w:color w:val="auto"/>
        </w:rPr>
      </w:pPr>
    </w:p>
    <w:p>
      <w:pPr>
        <w:ind w:left="940" w:hanging="516"/>
        <w:spacing w:after="0"/>
        <w:tabs>
          <w:tab w:leader="none" w:pos="9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09" w:lineRule="exact"/>
        <w:rPr>
          <w:sz w:val="20"/>
          <w:szCs w:val="20"/>
          <w:color w:val="auto"/>
        </w:rPr>
      </w:pPr>
    </w:p>
    <w:p>
      <w:pPr>
        <w:ind w:left="940" w:right="4379" w:hanging="480"/>
        <w:spacing w:after="0" w:line="362" w:lineRule="auto"/>
        <w:tabs>
          <w:tab w:leader="none" w:pos="9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(indicated by “[***]”) have been redacted pursuant to Regulation S-K, Item 601(a)(6).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6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Yesway, Inc.</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By:/s/ Thomas N. Trkla</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1"/>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N. Trkla</w:t>
            </w: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r>
      <w:tr>
        <w:trPr>
          <w:trHeight w:val="234"/>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64"/>
        </w:trPr>
        <w:tc>
          <w:tcPr>
            <w:tcW w:w="27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17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 Thomas N. Trkla</w:t>
            </w:r>
          </w:p>
        </w:tc>
        <w:tc>
          <w:tcPr>
            <w:tcW w:w="200" w:type="dxa"/>
            <w:vAlign w:val="bottom"/>
          </w:tcPr>
          <w:p>
            <w:pPr>
              <w:spacing w:after="0"/>
              <w:rPr>
                <w:sz w:val="24"/>
                <w:szCs w:val="24"/>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 2026</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Thomas N. Trkla</w:t>
            </w:r>
          </w:p>
        </w:tc>
        <w:tc>
          <w:tcPr>
            <w:tcW w:w="200" w:type="dxa"/>
            <w:vAlign w:val="bottom"/>
          </w:tcPr>
          <w:p>
            <w:pPr>
              <w:spacing w:after="0"/>
              <w:rPr>
                <w:sz w:val="20"/>
                <w:szCs w:val="20"/>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 Ericka L. Ayles</w:t>
            </w:r>
          </w:p>
        </w:tc>
        <w:tc>
          <w:tcPr>
            <w:tcW w:w="200" w:type="dxa"/>
            <w:vAlign w:val="bottom"/>
          </w:tcPr>
          <w:p>
            <w:pPr>
              <w:spacing w:after="0"/>
              <w:rPr>
                <w:sz w:val="24"/>
                <w:szCs w:val="24"/>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 2026</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Ericka L. Ayles</w:t>
            </w:r>
          </w:p>
        </w:tc>
        <w:tc>
          <w:tcPr>
            <w:tcW w:w="20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14"/>
          <w:szCs w:val="14"/>
          <w:b w:val="1"/>
          <w:bCs w:val="1"/>
          <w:color w:val="auto"/>
        </w:rPr>
        <w:t>esway</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7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Yesway,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be eligible to receive cash and equity compensation as set forth in this Non-Employee Director Compensation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The cash and equity compensation described in this Policy shall be paid or be made, as applicable, automatically and without further action of the Board, to each member of the Board who is not an employee of the Company or any parent (other than, for the avoidance of doubt, Brookwood Financial Partners, LLC or an affiliate thereof)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may be eligible to receive such cash or equity compensation, unless such Non-Employee Director declines the receipt of such cash or equity compensation by written notice to the Company. This Policy shall become effective after the effectiveness of the Company’s initial public offering (the “</w:t>
      </w:r>
      <w:r>
        <w:rPr>
          <w:rFonts w:ascii="Times New Roman" w:cs="Times New Roman" w:eastAsia="Times New Roman" w:hAnsi="Times New Roman"/>
          <w:sz w:val="22"/>
          <w:szCs w:val="22"/>
          <w:b w:val="1"/>
          <w:bCs w:val="1"/>
          <w:i w:val="1"/>
          <w:iCs w:val="1"/>
          <w:color w:val="auto"/>
        </w:rPr>
        <w:t>IPO</w:t>
      </w:r>
      <w:r>
        <w:rPr>
          <w:rFonts w:ascii="Times New Roman" w:cs="Times New Roman" w:eastAsia="Times New Roman" w:hAnsi="Times New Roman"/>
          <w:sz w:val="22"/>
          <w:szCs w:val="22"/>
          <w:color w:val="auto"/>
        </w:rPr>
        <w:t xml:space="preserve">”) and shall remain in effect until it is revised or rescinded by further action of the Board. This Policy may be amended, modified or terminated by the Board at any time in its sole discretion and if such IPO does not occur on or prior to January 1, 2027 this Policy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186"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Retainers</w:t>
      </w:r>
      <w:r>
        <w:rPr>
          <w:rFonts w:ascii="Times New Roman" w:cs="Times New Roman" w:eastAsia="Times New Roman" w:hAnsi="Times New Roman"/>
          <w:sz w:val="22"/>
          <w:szCs w:val="22"/>
          <w:color w:val="auto"/>
        </w:rPr>
        <w:t>. Each Non-Employee Director shall receive an annual retainer of $85,000 for service on the Board.</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 In addition, a Non-Employee Director shall receive the following annual retainers:</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 Committee</w:t>
      </w:r>
      <w:r>
        <w:rPr>
          <w:rFonts w:ascii="Times New Roman" w:cs="Times New Roman" w:eastAsia="Times New Roman" w:hAnsi="Times New Roman"/>
          <w:sz w:val="22"/>
          <w:szCs w:val="22"/>
          <w:color w:val="auto"/>
        </w:rPr>
        <w:t>. A Non-Employee Director serving as Chairperson of the Audit Committee shall receive an additional annual retainer of $25,000 for such service.</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 Non-Employee Director serving as Chairperson of the Compensation Committee shall receive an additional annual retainer of $20,000 for such service.</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Nominating and Corporate Governance Committee</w:t>
      </w:r>
      <w:r>
        <w:rPr>
          <w:rFonts w:ascii="Times New Roman" w:cs="Times New Roman" w:eastAsia="Times New Roman" w:hAnsi="Times New Roman"/>
          <w:sz w:val="22"/>
          <w:szCs w:val="22"/>
          <w:color w:val="auto"/>
        </w:rPr>
        <w:t>. A Non-Employee Director serving as Chairperson of the Nominating and Corporate Governance Committee shall receive an additional annual retainer of $15,000 for such service.</w:t>
      </w:r>
    </w:p>
    <w:p>
      <w:pPr>
        <w:spacing w:after="0" w:line="17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Retainers</w:t>
      </w:r>
      <w:r>
        <w:rPr>
          <w:rFonts w:ascii="Times New Roman" w:cs="Times New Roman" w:eastAsia="Times New Roman" w:hAnsi="Times New Roman"/>
          <w:sz w:val="21"/>
          <w:szCs w:val="21"/>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Sections 1(a) and 1(b), with such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9" w:name="page60"/>
    <w:bookmarkEnd w:id="59"/>
    <w:p>
      <w:pPr>
        <w:jc w:val="both"/>
        <w:spacing w:after="0" w:line="239" w:lineRule="auto"/>
        <w:rPr>
          <w:sz w:val="20"/>
          <w:szCs w:val="20"/>
          <w:color w:val="auto"/>
        </w:rPr>
      </w:pPr>
      <w:r>
        <w:rPr>
          <w:rFonts w:ascii="Times New Roman" w:cs="Times New Roman" w:eastAsia="Times New Roman" w:hAnsi="Times New Roman"/>
          <w:sz w:val="22"/>
          <w:szCs w:val="22"/>
          <w:color w:val="auto"/>
        </w:rPr>
        <w:t>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80" w:lineRule="exact"/>
        <w:rPr>
          <w:sz w:val="20"/>
          <w:szCs w:val="20"/>
          <w:color w:val="auto"/>
        </w:rPr>
      </w:pPr>
    </w:p>
    <w:p>
      <w:pPr>
        <w:jc w:val="both"/>
        <w:ind w:firstLine="656"/>
        <w:spacing w:after="0" w:line="235"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Non-Employee Directors shall be granted the equity awards described below. The awards described below shall be granted under and shall be subject to the terms and provisions of the Company’s 2026 Incentive Award Plan or any other applicable Company equity incentive plan then-maintained by the Company (such plan, as may be amended from time to time,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83"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IPO Awards</w:t>
      </w:r>
      <w:r>
        <w:rPr>
          <w:rFonts w:ascii="Times New Roman" w:cs="Times New Roman" w:eastAsia="Times New Roman" w:hAnsi="Times New Roman"/>
          <w:sz w:val="22"/>
          <w:szCs w:val="22"/>
          <w:color w:val="auto"/>
        </w:rPr>
        <w:t>. Each Non-Employee Director who (i) serves on the Board as of the date the IPO price of the shares of the Company’s Class A common stock is established in connection with the Company’s IPO (the “</w:t>
      </w:r>
      <w:r>
        <w:rPr>
          <w:rFonts w:ascii="Times New Roman" w:cs="Times New Roman" w:eastAsia="Times New Roman" w:hAnsi="Times New Roman"/>
          <w:sz w:val="22"/>
          <w:szCs w:val="22"/>
          <w:b w:val="1"/>
          <w:bCs w:val="1"/>
          <w:i w:val="1"/>
          <w:iCs w:val="1"/>
          <w:color w:val="auto"/>
        </w:rPr>
        <w:t>Pricing Date</w:t>
      </w:r>
      <w:r>
        <w:rPr>
          <w:rFonts w:ascii="Times New Roman" w:cs="Times New Roman" w:eastAsia="Times New Roman" w:hAnsi="Times New Roman"/>
          <w:sz w:val="22"/>
          <w:szCs w:val="22"/>
          <w:color w:val="auto"/>
        </w:rPr>
        <w:t>”) and (ii) will continue to serve as a Non-Employee Director immediately following the Pricing Date shall be automatically granted, on the date the Company’s Form S-8 registration statement is filed, an award of restricted stock units that has an aggregate fair value on the date of grant of $140,000 (as determined in accordance with FASB Accounting Codification Topic 718 (“</w:t>
      </w:r>
      <w:r>
        <w:rPr>
          <w:rFonts w:ascii="Times New Roman" w:cs="Times New Roman" w:eastAsia="Times New Roman" w:hAnsi="Times New Roman"/>
          <w:sz w:val="22"/>
          <w:szCs w:val="22"/>
          <w:b w:val="1"/>
          <w:bCs w:val="1"/>
          <w:i w:val="1"/>
          <w:iCs w:val="1"/>
          <w:color w:val="auto"/>
        </w:rPr>
        <w:t>ASC 718</w:t>
      </w:r>
      <w:r>
        <w:rPr>
          <w:rFonts w:ascii="Times New Roman" w:cs="Times New Roman" w:eastAsia="Times New Roman" w:hAnsi="Times New Roman"/>
          <w:sz w:val="22"/>
          <w:szCs w:val="22"/>
          <w:color w:val="auto"/>
        </w:rPr>
        <w:t>”) and subject to adjustment as provided in the Equity Plan in each case).</w:t>
      </w:r>
    </w:p>
    <w:p>
      <w:pPr>
        <w:spacing w:after="0" w:line="18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9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Awards</w:t>
      </w:r>
      <w:r>
        <w:rPr>
          <w:rFonts w:ascii="Times New Roman" w:cs="Times New Roman" w:eastAsia="Times New Roman" w:hAnsi="Times New Roman"/>
          <w:sz w:val="22"/>
          <w:szCs w:val="22"/>
          <w:color w:val="auto"/>
        </w:rPr>
        <w:t>. Each Non-Employee Director who (i) serves on the Board as of the date of any annual meeting of the Company’s stockholders (an “</w:t>
      </w:r>
      <w:r>
        <w:rPr>
          <w:rFonts w:ascii="Times New Roman" w:cs="Times New Roman" w:eastAsia="Times New Roman" w:hAnsi="Times New Roman"/>
          <w:sz w:val="22"/>
          <w:szCs w:val="22"/>
          <w:b w:val="1"/>
          <w:bCs w:val="1"/>
          <w:i w:val="1"/>
          <w:iCs w:val="1"/>
          <w:color w:val="auto"/>
        </w:rPr>
        <w:t>Annual Meeting</w:t>
      </w:r>
      <w:r>
        <w:rPr>
          <w:rFonts w:ascii="Times New Roman" w:cs="Times New Roman" w:eastAsia="Times New Roman" w:hAnsi="Times New Roman"/>
          <w:sz w:val="22"/>
          <w:szCs w:val="22"/>
          <w:color w:val="auto"/>
        </w:rPr>
        <w:t>”) after the Pricing Date and (ii) will continue to serve as a Non-Employee Director immediately following such Annual Meeting shall be automatically granted, on the date of such Annual Meeting, an award of restricted stock units that has an aggregate fair value on the date of such Annual Meeting of $140,000 (as determined in accordance with ASC 718 and with the number of shares of Class A common stock underlying such award subject to adjustment as provided in the Equity Plan). The awards described in this Section 2(b) shall be referred to as the “</w:t>
      </w:r>
      <w:r>
        <w:rPr>
          <w:rFonts w:ascii="Times New Roman" w:cs="Times New Roman" w:eastAsia="Times New Roman" w:hAnsi="Times New Roman"/>
          <w:sz w:val="22"/>
          <w:szCs w:val="22"/>
          <w:b w:val="1"/>
          <w:bCs w:val="1"/>
          <w:i w:val="1"/>
          <w:iCs w:val="1"/>
          <w:color w:val="auto"/>
        </w:rPr>
        <w:t>Annual Awards</w:t>
      </w:r>
      <w:r>
        <w:rPr>
          <w:rFonts w:ascii="Times New Roman" w:cs="Times New Roman" w:eastAsia="Times New Roman" w:hAnsi="Times New Roman"/>
          <w:sz w:val="22"/>
          <w:szCs w:val="22"/>
          <w:color w:val="auto"/>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179"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Except as otherwise determined by the Board, each Non-Employee Director who is initially elected or appointed to the Board after the Pricing Date on any date other than the date of an Annual Meeting shall be automatically granted, on the date of such Non-Employee Director’s initial election or appointment (such Non-Employee Director’s “</w:t>
      </w:r>
      <w:r>
        <w:rPr>
          <w:rFonts w:ascii="Times New Roman" w:cs="Times New Roman" w:eastAsia="Times New Roman" w:hAnsi="Times New Roman"/>
          <w:sz w:val="22"/>
          <w:szCs w:val="22"/>
          <w:b w:val="1"/>
          <w:bCs w:val="1"/>
          <w:i w:val="1"/>
          <w:iCs w:val="1"/>
          <w:color w:val="auto"/>
        </w:rPr>
        <w:t>Start Date</w:t>
      </w:r>
      <w:r>
        <w:rPr>
          <w:rFonts w:ascii="Times New Roman" w:cs="Times New Roman" w:eastAsia="Times New Roman" w:hAnsi="Times New Roman"/>
          <w:sz w:val="22"/>
          <w:szCs w:val="22"/>
          <w:color w:val="auto"/>
        </w:rPr>
        <w:t>”), an award of restricted stock units that has an aggregate fair value on such Non-Employee Director’s Start Date equal to the product of (i) $140,000 (as determined in accordance with ASC 718) and (ii) a fraction, the numerator of which is (x) 365 minus (y) the number of days in the period beginning on the date of the Annual Meeting immediately preceding such Non-Employee Director’s Start Date (or, if no such Annual Meeting has occurred, the effective date of the Company’s IPO) and ending on such Non-Employee Director’s Start Date and the denominator of which is 365 (with the number of shares of Class A common stock underlying each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0" w:name="page61"/>
    <w:bookmarkEnd w:id="60"/>
    <w:p>
      <w:pPr>
        <w:jc w:val="both"/>
        <w:spacing w:after="0" w:line="244" w:lineRule="auto"/>
        <w:rPr>
          <w:sz w:val="20"/>
          <w:szCs w:val="20"/>
          <w:color w:val="auto"/>
        </w:rPr>
      </w:pPr>
      <w:r>
        <w:rPr>
          <w:rFonts w:ascii="Times New Roman" w:cs="Times New Roman" w:eastAsia="Times New Roman" w:hAnsi="Times New Roman"/>
          <w:sz w:val="22"/>
          <w:szCs w:val="22"/>
          <w:color w:val="auto"/>
        </w:rPr>
        <w:t>subject to adjustment as provided in the Equity Plan). The awards described in this Section 2(c)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For the avoidance of doubt, no Non-Employee Director shall be granted more than one Initial Award.</w:t>
      </w:r>
    </w:p>
    <w:p>
      <w:pPr>
        <w:spacing w:after="0" w:line="173" w:lineRule="exact"/>
        <w:rPr>
          <w:sz w:val="20"/>
          <w:szCs w:val="20"/>
          <w:color w:val="auto"/>
        </w:rPr>
      </w:pPr>
    </w:p>
    <w:p>
      <w:pPr>
        <w:jc w:val="both"/>
        <w:ind w:firstLine="1304"/>
        <w:spacing w:after="0" w:line="236"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employment with the Company and any parent or subsidiary of the Company, Annual Awards as described in Section 2(b) above.</w:t>
      </w:r>
    </w:p>
    <w:p>
      <w:pPr>
        <w:spacing w:after="0" w:line="181"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Awards Granted to Non-Employee Directors</w:t>
      </w:r>
      <w:r>
        <w:rPr>
          <w:rFonts w:ascii="Times New Roman" w:cs="Times New Roman" w:eastAsia="Times New Roman" w:hAnsi="Times New Roman"/>
          <w:sz w:val="22"/>
          <w:szCs w:val="22"/>
          <w:color w:val="auto"/>
        </w:rPr>
        <w:t>. Each IPO Award shall vest and become exercisable on the first anniversary of the date of grant, subject to the Non-Employee Director continuing in service on the Board through the applicable vesting date, and each Annual Award and Initial Award shall vest and become exercisable on the earlier of (i) the day immediately preceding the date of the first Annual Meeting following the date of grant and (ii) the first anniversary of the date of grant, subject to the Non-Employee Director continuing in service on the Board through the applicable vesting date. No portion of an IPO Award, Annual Award or Initial Award that is unvested or unexercisable at the time of a Non-Employee Director’s termination of service on the Board shall become vested and exercisable thereafter. All of a Non-Employee Director’s IPO Awards, Annual Awards and Initial Awards shall vest in full immediately prior to the occurrence of a Change in Control (as defined in the Equity Plan), to the extent outstanding at such time.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1" w:name="page62"/>
    <w:bookmarkEnd w:id="61"/>
    <w:p>
      <w:pPr>
        <w:ind w:left="8820"/>
        <w:spacing w:after="0"/>
        <w:rPr>
          <w:sz w:val="20"/>
          <w:szCs w:val="20"/>
          <w:color w:val="auto"/>
        </w:rPr>
      </w:pPr>
      <w:r>
        <w:rPr>
          <w:rFonts w:ascii="Arial" w:cs="Arial" w:eastAsia="Arial" w:hAnsi="Arial"/>
          <w:sz w:val="17"/>
          <w:szCs w:val="17"/>
          <w:b w:val="1"/>
          <w:bCs w:val="1"/>
          <w:color w:val="auto"/>
        </w:rPr>
        <w:t>Exhibit 10.11</w:t>
      </w:r>
    </w:p>
    <w:p>
      <w:pPr>
        <w:spacing w:after="0" w:line="209" w:lineRule="exact"/>
        <w:rPr>
          <w:sz w:val="20"/>
          <w:szCs w:val="20"/>
          <w:color w:val="auto"/>
        </w:rPr>
      </w:pPr>
    </w:p>
    <w:p>
      <w:pPr>
        <w:ind w:left="6720"/>
        <w:spacing w:after="0"/>
        <w:rPr>
          <w:sz w:val="20"/>
          <w:szCs w:val="20"/>
          <w:color w:val="auto"/>
        </w:rPr>
      </w:pPr>
      <w:r>
        <w:rPr>
          <w:rFonts w:ascii="Arial" w:cs="Arial" w:eastAsia="Arial" w:hAnsi="Arial"/>
          <w:sz w:val="18"/>
          <w:szCs w:val="18"/>
          <w:u w:val="single" w:color="auto"/>
          <w:color w:val="auto"/>
        </w:rPr>
        <w:t>PRIVILEGED AND CONFIDENTIAL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23,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Thomas N. Trkla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2301 Eagle Parkway</w:t>
      </w:r>
    </w:p>
    <w:p>
      <w:pPr>
        <w:spacing w:after="0"/>
        <w:rPr>
          <w:sz w:val="20"/>
          <w:szCs w:val="20"/>
          <w:color w:val="auto"/>
        </w:rPr>
      </w:pPr>
      <w:r>
        <w:rPr>
          <w:rFonts w:ascii="Arial" w:cs="Arial" w:eastAsia="Arial" w:hAnsi="Arial"/>
          <w:sz w:val="18"/>
          <w:szCs w:val="18"/>
          <w:color w:val="auto"/>
        </w:rPr>
        <w:t>Fort Worth, TX 76177</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Amended and Restated Employment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Thomas</w:t>
      </w:r>
      <w:r>
        <w:rPr>
          <w:rFonts w:ascii="Arial" w:cs="Arial" w:eastAsia="Arial" w:hAnsi="Arial"/>
          <w:sz w:val="18"/>
          <w:szCs w:val="18"/>
          <w:color w:val="515152"/>
        </w:rPr>
        <w: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amended and restated letter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sets forth the terms of your continued employment at Yesway, Inc. (“</w:t>
      </w:r>
      <w:r>
        <w:rPr>
          <w:rFonts w:ascii="Arial" w:cs="Arial" w:eastAsia="Arial" w:hAnsi="Arial"/>
          <w:sz w:val="18"/>
          <w:szCs w:val="18"/>
          <w:b w:val="1"/>
          <w:bCs w:val="1"/>
          <w:color w:val="auto"/>
        </w:rPr>
        <w:t>Yesway</w:t>
      </w:r>
      <w:r>
        <w:rPr>
          <w:rFonts w:ascii="Arial" w:cs="Arial" w:eastAsia="Arial" w:hAnsi="Arial"/>
          <w:sz w:val="18"/>
          <w:szCs w:val="18"/>
          <w:color w:val="auto"/>
        </w:rPr>
        <w:t>,” together with any subsidiaries and affiliates as may employ you from time to time, the “</w:t>
      </w:r>
      <w:r>
        <w:rPr>
          <w:rFonts w:ascii="Arial" w:cs="Arial" w:eastAsia="Arial" w:hAnsi="Arial"/>
          <w:sz w:val="18"/>
          <w:szCs w:val="18"/>
          <w:b w:val="1"/>
          <w:bCs w:val="1"/>
          <w:color w:val="auto"/>
        </w:rPr>
        <w:t>Company</w:t>
      </w:r>
      <w:r>
        <w:rPr>
          <w:rFonts w:ascii="Arial" w:cs="Arial" w:eastAsia="Arial" w:hAnsi="Arial"/>
          <w:sz w:val="18"/>
          <w:szCs w:val="18"/>
          <w:color w:val="auto"/>
        </w:rPr>
        <w:t>”). This Agreement will be effective on the closing date of the initial public offering of Yesway (the “</w:t>
      </w:r>
      <w:r>
        <w:rPr>
          <w:rFonts w:ascii="Arial" w:cs="Arial" w:eastAsia="Arial" w:hAnsi="Arial"/>
          <w:sz w:val="18"/>
          <w:szCs w:val="18"/>
          <w:b w:val="1"/>
          <w:bCs w:val="1"/>
          <w:color w:val="auto"/>
        </w:rPr>
        <w:t>IPO</w:t>
      </w:r>
      <w:r>
        <w:rPr>
          <w:rFonts w:ascii="Arial" w:cs="Arial" w:eastAsia="Arial" w:hAnsi="Arial"/>
          <w:sz w:val="18"/>
          <w:szCs w:val="18"/>
          <w:color w:val="auto"/>
        </w:rPr>
        <w:t>”) or such other date mutually agreed upon by the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Duties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333334"/>
        </w:rPr>
        <w:t xml:space="preserve">You </w:t>
      </w:r>
      <w:r>
        <w:rPr>
          <w:rFonts w:ascii="Arial" w:cs="Arial" w:eastAsia="Arial" w:hAnsi="Arial"/>
          <w:sz w:val="18"/>
          <w:szCs w:val="18"/>
          <w:color w:val="000000"/>
        </w:rPr>
        <w:t>will be employed in the</w:t>
      </w:r>
      <w:r>
        <w:rPr>
          <w:rFonts w:ascii="Arial" w:cs="Arial" w:eastAsia="Arial" w:hAnsi="Arial"/>
          <w:sz w:val="18"/>
          <w:szCs w:val="18"/>
          <w:color w:val="333334"/>
        </w:rPr>
        <w:t xml:space="preserve"> role </w:t>
      </w:r>
      <w:r>
        <w:rPr>
          <w:rFonts w:ascii="Arial" w:cs="Arial" w:eastAsia="Arial" w:hAnsi="Arial"/>
          <w:sz w:val="18"/>
          <w:szCs w:val="18"/>
          <w:color w:val="000000"/>
        </w:rPr>
        <w:t>of President and Chief Executive Officer and</w:t>
      </w:r>
      <w:r>
        <w:rPr>
          <w:rFonts w:ascii="Arial" w:cs="Arial" w:eastAsia="Arial" w:hAnsi="Arial"/>
          <w:sz w:val="18"/>
          <w:szCs w:val="18"/>
          <w:color w:val="333334"/>
        </w:rPr>
        <w:t xml:space="preserve"> you </w:t>
      </w:r>
      <w:r>
        <w:rPr>
          <w:rFonts w:ascii="Arial" w:cs="Arial" w:eastAsia="Arial" w:hAnsi="Arial"/>
          <w:sz w:val="18"/>
          <w:szCs w:val="18"/>
          <w:color w:val="000000"/>
        </w:rPr>
        <w:t>shall</w:t>
      </w:r>
      <w:r>
        <w:rPr>
          <w:rFonts w:ascii="Arial" w:cs="Arial" w:eastAsia="Arial" w:hAnsi="Arial"/>
          <w:sz w:val="18"/>
          <w:szCs w:val="18"/>
          <w:color w:val="333334"/>
        </w:rPr>
        <w:t xml:space="preserve"> perform </w:t>
      </w:r>
      <w:r>
        <w:rPr>
          <w:rFonts w:ascii="Arial" w:cs="Arial" w:eastAsia="Arial" w:hAnsi="Arial"/>
          <w:sz w:val="18"/>
          <w:szCs w:val="18"/>
          <w:color w:val="000000"/>
        </w:rPr>
        <w:t>the duties of</w:t>
      </w:r>
      <w:r>
        <w:rPr>
          <w:rFonts w:ascii="Arial" w:cs="Arial" w:eastAsia="Arial" w:hAnsi="Arial"/>
          <w:sz w:val="18"/>
          <w:szCs w:val="18"/>
          <w:color w:val="333334"/>
        </w:rPr>
        <w:t xml:space="preserve"> this </w:t>
      </w:r>
      <w:r>
        <w:rPr>
          <w:rFonts w:ascii="Arial" w:cs="Arial" w:eastAsia="Arial" w:hAnsi="Arial"/>
          <w:sz w:val="18"/>
          <w:szCs w:val="18"/>
          <w:color w:val="000000"/>
        </w:rPr>
        <w:t>ro</w:t>
      </w:r>
      <w:r>
        <w:rPr>
          <w:rFonts w:ascii="Arial" w:cs="Arial" w:eastAsia="Arial" w:hAnsi="Arial"/>
          <w:sz w:val="18"/>
          <w:szCs w:val="18"/>
          <w:color w:val="515152"/>
        </w:rPr>
        <w:t>l</w:t>
      </w:r>
      <w:r>
        <w:rPr>
          <w:rFonts w:ascii="Arial" w:cs="Arial" w:eastAsia="Arial" w:hAnsi="Arial"/>
          <w:sz w:val="18"/>
          <w:szCs w:val="18"/>
          <w:color w:val="333334"/>
        </w:rPr>
        <w:t xml:space="preserve">e </w:t>
      </w:r>
      <w:r>
        <w:rPr>
          <w:rFonts w:ascii="Arial" w:cs="Arial" w:eastAsia="Arial" w:hAnsi="Arial"/>
          <w:sz w:val="18"/>
          <w:szCs w:val="18"/>
          <w:color w:val="000000"/>
        </w:rPr>
        <w:t>as are</w:t>
      </w:r>
      <w:r>
        <w:rPr>
          <w:rFonts w:ascii="Arial" w:cs="Arial" w:eastAsia="Arial" w:hAnsi="Arial"/>
          <w:sz w:val="18"/>
          <w:szCs w:val="18"/>
          <w:color w:val="333334"/>
        </w:rPr>
        <w:t xml:space="preserve"> customary </w:t>
      </w:r>
      <w:r>
        <w:rPr>
          <w:rFonts w:ascii="Arial" w:cs="Arial" w:eastAsia="Arial" w:hAnsi="Arial"/>
          <w:sz w:val="18"/>
          <w:szCs w:val="18"/>
          <w:color w:val="000000"/>
        </w:rPr>
        <w:t>and as may be required by the Company. You</w:t>
      </w:r>
      <w:r>
        <w:rPr>
          <w:rFonts w:ascii="Arial" w:cs="Arial" w:eastAsia="Arial" w:hAnsi="Arial"/>
          <w:sz w:val="18"/>
          <w:szCs w:val="18"/>
          <w:color w:val="333334"/>
        </w:rPr>
        <w:t xml:space="preserve"> will </w:t>
      </w:r>
      <w:r>
        <w:rPr>
          <w:rFonts w:ascii="Arial" w:cs="Arial" w:eastAsia="Arial" w:hAnsi="Arial"/>
          <w:sz w:val="18"/>
          <w:szCs w:val="18"/>
          <w:color w:val="000000"/>
        </w:rPr>
        <w:t>report to the Board of Yesway.</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You shall have such duties and responsibilities, commensurate with your </w:t>
      </w:r>
      <w:r>
        <w:rPr>
          <w:rFonts w:ascii="Arial" w:cs="Arial" w:eastAsia="Arial" w:hAnsi="Arial"/>
          <w:sz w:val="18"/>
          <w:szCs w:val="18"/>
          <w:color w:val="333334"/>
        </w:rPr>
        <w:t>position</w:t>
      </w:r>
      <w:r>
        <w:rPr>
          <w:rFonts w:ascii="Arial" w:cs="Arial" w:eastAsia="Arial" w:hAnsi="Arial"/>
          <w:sz w:val="18"/>
          <w:szCs w:val="18"/>
          <w:color w:val="515152"/>
        </w:rPr>
        <w:t>,</w:t>
      </w:r>
      <w:r>
        <w:rPr>
          <w:rFonts w:ascii="Arial" w:cs="Arial" w:eastAsia="Arial" w:hAnsi="Arial"/>
          <w:sz w:val="18"/>
          <w:szCs w:val="18"/>
          <w:color w:val="auto"/>
        </w:rPr>
        <w:t xml:space="preserve"> as </w:t>
      </w:r>
      <w:r>
        <w:rPr>
          <w:rFonts w:ascii="Arial" w:cs="Arial" w:eastAsia="Arial" w:hAnsi="Arial"/>
          <w:sz w:val="18"/>
          <w:szCs w:val="18"/>
          <w:color w:val="333334"/>
        </w:rPr>
        <w:t>may</w:t>
      </w:r>
      <w:r>
        <w:rPr>
          <w:rFonts w:ascii="Arial" w:cs="Arial" w:eastAsia="Arial" w:hAnsi="Arial"/>
          <w:sz w:val="18"/>
          <w:szCs w:val="18"/>
          <w:color w:val="auto"/>
        </w:rPr>
        <w:t xml:space="preserve"> be reasonably assigned to you from time to time by the Board</w:t>
      </w:r>
      <w:r>
        <w:rPr>
          <w:rFonts w:ascii="Arial" w:cs="Arial" w:eastAsia="Arial" w:hAnsi="Arial"/>
          <w:sz w:val="18"/>
          <w:szCs w:val="18"/>
          <w:color w:val="515152"/>
        </w:rPr>
        <w:t>,</w:t>
      </w:r>
      <w:r>
        <w:rPr>
          <w:rFonts w:ascii="Arial" w:cs="Arial" w:eastAsia="Arial" w:hAnsi="Arial"/>
          <w:sz w:val="18"/>
          <w:szCs w:val="18"/>
          <w:color w:val="auto"/>
        </w:rPr>
        <w:t xml:space="preserve"> </w:t>
      </w:r>
      <w:r>
        <w:rPr>
          <w:rFonts w:ascii="Arial" w:cs="Arial" w:eastAsia="Arial" w:hAnsi="Arial"/>
          <w:sz w:val="18"/>
          <w:szCs w:val="18"/>
          <w:color w:val="333334"/>
        </w:rPr>
        <w:t>or wh</w:t>
      </w:r>
      <w:r>
        <w:rPr>
          <w:rFonts w:ascii="Arial" w:cs="Arial" w:eastAsia="Arial" w:hAnsi="Arial"/>
          <w:sz w:val="18"/>
          <w:szCs w:val="18"/>
          <w:color w:val="515152"/>
        </w:rPr>
        <w:t>i</w:t>
      </w:r>
      <w:r>
        <w:rPr>
          <w:rFonts w:ascii="Arial" w:cs="Arial" w:eastAsia="Arial" w:hAnsi="Arial"/>
          <w:sz w:val="18"/>
          <w:szCs w:val="18"/>
          <w:color w:val="333334"/>
        </w:rPr>
        <w:t>ch</w:t>
      </w:r>
      <w:r>
        <w:rPr>
          <w:rFonts w:ascii="Arial" w:cs="Arial" w:eastAsia="Arial" w:hAnsi="Arial"/>
          <w:sz w:val="18"/>
          <w:szCs w:val="18"/>
          <w:color w:val="auto"/>
        </w:rPr>
        <w:t xml:space="preserve"> are </w:t>
      </w:r>
      <w:r>
        <w:rPr>
          <w:rFonts w:ascii="Arial" w:cs="Arial" w:eastAsia="Arial" w:hAnsi="Arial"/>
          <w:sz w:val="18"/>
          <w:szCs w:val="18"/>
          <w:color w:val="333334"/>
        </w:rPr>
        <w:t>in</w:t>
      </w:r>
      <w:r>
        <w:rPr>
          <w:rFonts w:ascii="Arial" w:cs="Arial" w:eastAsia="Arial" w:hAnsi="Arial"/>
          <w:sz w:val="18"/>
          <w:szCs w:val="18"/>
          <w:color w:val="auto"/>
        </w:rPr>
        <w:t xml:space="preserve"> accordance </w:t>
      </w:r>
      <w:r>
        <w:rPr>
          <w:rFonts w:ascii="Arial" w:cs="Arial" w:eastAsia="Arial" w:hAnsi="Arial"/>
          <w:sz w:val="18"/>
          <w:szCs w:val="18"/>
          <w:color w:val="333334"/>
        </w:rPr>
        <w:t>with the</w:t>
      </w:r>
      <w:r>
        <w:rPr>
          <w:rFonts w:ascii="Arial" w:cs="Arial" w:eastAsia="Arial" w:hAnsi="Arial"/>
          <w:sz w:val="18"/>
          <w:szCs w:val="18"/>
          <w:color w:val="auto"/>
        </w:rPr>
        <w:t xml:space="preserve"> delegations of authority set out by </w:t>
      </w:r>
      <w:r>
        <w:rPr>
          <w:rFonts w:ascii="Arial" w:cs="Arial" w:eastAsia="Arial" w:hAnsi="Arial"/>
          <w:sz w:val="18"/>
          <w:szCs w:val="18"/>
          <w:color w:val="333334"/>
        </w:rPr>
        <w:t>the</w:t>
      </w:r>
      <w:r>
        <w:rPr>
          <w:rFonts w:ascii="Arial" w:cs="Arial" w:eastAsia="Arial" w:hAnsi="Arial"/>
          <w:sz w:val="18"/>
          <w:szCs w:val="18"/>
          <w:color w:val="auto"/>
        </w:rPr>
        <w:t xml:space="preserve"> Board. You will use your best efforts to promote the interests and condition (financial and otherwise)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At-Will Employment Relationship</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You may terminate </w:t>
      </w:r>
      <w:r>
        <w:rPr>
          <w:rFonts w:ascii="Arial" w:cs="Arial" w:eastAsia="Arial" w:hAnsi="Arial"/>
          <w:sz w:val="18"/>
          <w:szCs w:val="18"/>
          <w:color w:val="333334"/>
        </w:rPr>
        <w:t>your</w:t>
      </w:r>
      <w:r>
        <w:rPr>
          <w:rFonts w:ascii="Arial" w:cs="Arial" w:eastAsia="Arial" w:hAnsi="Arial"/>
          <w:sz w:val="18"/>
          <w:szCs w:val="18"/>
          <w:color w:val="auto"/>
        </w:rPr>
        <w:t xml:space="preserve"> employment with the Company at any time and </w:t>
      </w:r>
      <w:r>
        <w:rPr>
          <w:rFonts w:ascii="Arial" w:cs="Arial" w:eastAsia="Arial" w:hAnsi="Arial"/>
          <w:sz w:val="18"/>
          <w:szCs w:val="18"/>
          <w:color w:val="333334"/>
        </w:rPr>
        <w:t>for</w:t>
      </w:r>
      <w:r>
        <w:rPr>
          <w:rFonts w:ascii="Arial" w:cs="Arial" w:eastAsia="Arial" w:hAnsi="Arial"/>
          <w:sz w:val="18"/>
          <w:szCs w:val="18"/>
          <w:color w:val="auto"/>
        </w:rPr>
        <w:t xml:space="preserve"> any reason </w:t>
      </w:r>
      <w:r>
        <w:rPr>
          <w:rFonts w:ascii="Arial" w:cs="Arial" w:eastAsia="Arial" w:hAnsi="Arial"/>
          <w:sz w:val="18"/>
          <w:szCs w:val="18"/>
          <w:color w:val="333334"/>
        </w:rPr>
        <w:t>whatsoever</w:t>
      </w:r>
      <w:r>
        <w:rPr>
          <w:rFonts w:ascii="Arial" w:cs="Arial" w:eastAsia="Arial" w:hAnsi="Arial"/>
          <w:sz w:val="18"/>
          <w:szCs w:val="18"/>
          <w:color w:val="auto"/>
        </w:rPr>
        <w:t xml:space="preserve"> simply by notifying the Company. Likewise, the Company may terminate </w:t>
      </w:r>
      <w:r>
        <w:rPr>
          <w:rFonts w:ascii="Arial" w:cs="Arial" w:eastAsia="Arial" w:hAnsi="Arial"/>
          <w:sz w:val="18"/>
          <w:szCs w:val="18"/>
          <w:color w:val="333334"/>
        </w:rPr>
        <w:t>your</w:t>
      </w:r>
      <w:r>
        <w:rPr>
          <w:rFonts w:ascii="Arial" w:cs="Arial" w:eastAsia="Arial" w:hAnsi="Arial"/>
          <w:sz w:val="18"/>
          <w:szCs w:val="18"/>
          <w:color w:val="auto"/>
        </w:rPr>
        <w:t xml:space="preserve"> employment at any time, </w:t>
      </w:r>
      <w:r>
        <w:rPr>
          <w:rFonts w:ascii="Arial" w:cs="Arial" w:eastAsia="Arial" w:hAnsi="Arial"/>
          <w:sz w:val="18"/>
          <w:szCs w:val="18"/>
          <w:color w:val="333334"/>
        </w:rPr>
        <w:t>with</w:t>
      </w:r>
      <w:r>
        <w:rPr>
          <w:rFonts w:ascii="Arial" w:cs="Arial" w:eastAsia="Arial" w:hAnsi="Arial"/>
          <w:sz w:val="18"/>
          <w:szCs w:val="18"/>
          <w:color w:val="auto"/>
        </w:rPr>
        <w:t xml:space="preserve"> or </w:t>
      </w:r>
      <w:r>
        <w:rPr>
          <w:rFonts w:ascii="Arial" w:cs="Arial" w:eastAsia="Arial" w:hAnsi="Arial"/>
          <w:sz w:val="18"/>
          <w:szCs w:val="18"/>
          <w:color w:val="333334"/>
        </w:rPr>
        <w:t>without</w:t>
      </w:r>
      <w:r>
        <w:rPr>
          <w:rFonts w:ascii="Arial" w:cs="Arial" w:eastAsia="Arial" w:hAnsi="Arial"/>
          <w:sz w:val="18"/>
          <w:szCs w:val="18"/>
          <w:color w:val="auto"/>
        </w:rPr>
        <w:t xml:space="preserve"> cause</w:t>
      </w:r>
      <w:r>
        <w:rPr>
          <w:rFonts w:ascii="Arial" w:cs="Arial" w:eastAsia="Arial" w:hAnsi="Arial"/>
          <w:sz w:val="18"/>
          <w:szCs w:val="18"/>
          <w:color w:val="515152"/>
        </w:rPr>
        <w:t>,</w:t>
      </w:r>
      <w:r>
        <w:rPr>
          <w:rFonts w:ascii="Arial" w:cs="Arial" w:eastAsia="Arial" w:hAnsi="Arial"/>
          <w:sz w:val="18"/>
          <w:szCs w:val="18"/>
          <w:color w:val="auto"/>
        </w:rPr>
        <w:t xml:space="preserve"> and with or without advance notice. Your employment at-will status can only be modified </w:t>
      </w:r>
      <w:r>
        <w:rPr>
          <w:rFonts w:ascii="Arial" w:cs="Arial" w:eastAsia="Arial" w:hAnsi="Arial"/>
          <w:sz w:val="18"/>
          <w:szCs w:val="18"/>
          <w:color w:val="333334"/>
        </w:rPr>
        <w:t>in</w:t>
      </w:r>
      <w:r>
        <w:rPr>
          <w:rFonts w:ascii="Arial" w:cs="Arial" w:eastAsia="Arial" w:hAnsi="Arial"/>
          <w:sz w:val="18"/>
          <w:szCs w:val="18"/>
          <w:color w:val="auto"/>
        </w:rPr>
        <w:t xml:space="preserve"> a </w:t>
      </w:r>
      <w:r>
        <w:rPr>
          <w:rFonts w:ascii="Arial" w:cs="Arial" w:eastAsia="Arial" w:hAnsi="Arial"/>
          <w:sz w:val="18"/>
          <w:szCs w:val="18"/>
          <w:color w:val="333334"/>
        </w:rPr>
        <w:t>written</w:t>
      </w:r>
      <w:r>
        <w:rPr>
          <w:rFonts w:ascii="Arial" w:cs="Arial" w:eastAsia="Arial" w:hAnsi="Arial"/>
          <w:sz w:val="18"/>
          <w:szCs w:val="18"/>
          <w:color w:val="auto"/>
        </w:rPr>
        <w:t xml:space="preserve"> agreement approved by the Company and signed by you and a duly authorized member of the Company. If your employment with the Company terminates for any reason (such date of termination, the “</w:t>
      </w:r>
      <w:r>
        <w:rPr>
          <w:rFonts w:ascii="Arial" w:cs="Arial" w:eastAsia="Arial" w:hAnsi="Arial"/>
          <w:sz w:val="18"/>
          <w:szCs w:val="18"/>
          <w:b w:val="1"/>
          <w:bCs w:val="1"/>
          <w:color w:val="auto"/>
        </w:rPr>
        <w:t>Termination Date</w:t>
      </w:r>
      <w:r>
        <w:rPr>
          <w:rFonts w:ascii="Arial" w:cs="Arial" w:eastAsia="Arial" w:hAnsi="Arial"/>
          <w:sz w:val="18"/>
          <w:szCs w:val="18"/>
          <w:color w:val="auto"/>
        </w:rPr>
        <w:t>”), then, concurrently with such termination, you will be deemed to have resigned from all director, officer, trustee or other positions you hold with the Company and any of its affiliates, in each case unless otherwise agreed to in writing by the Company and you. You agree to execute any documents evidencing such resignations as the Company may reasonably request.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 and Employee Benefits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333334"/>
        </w:rPr>
        <w:t xml:space="preserve">Your </w:t>
      </w:r>
      <w:r>
        <w:rPr>
          <w:rFonts w:ascii="Arial" w:cs="Arial" w:eastAsia="Arial" w:hAnsi="Arial"/>
          <w:sz w:val="18"/>
          <w:szCs w:val="18"/>
          <w:color w:val="000000"/>
        </w:rPr>
        <w:t>base salary</w:t>
      </w:r>
      <w:r>
        <w:rPr>
          <w:rFonts w:ascii="Arial" w:cs="Arial" w:eastAsia="Arial" w:hAnsi="Arial"/>
          <w:sz w:val="18"/>
          <w:szCs w:val="18"/>
          <w:color w:val="333334"/>
        </w:rPr>
        <w:t xml:space="preserve"> will </w:t>
      </w:r>
      <w:r>
        <w:rPr>
          <w:rFonts w:ascii="Arial" w:cs="Arial" w:eastAsia="Arial" w:hAnsi="Arial"/>
          <w:sz w:val="18"/>
          <w:szCs w:val="18"/>
          <w:color w:val="000000"/>
        </w:rPr>
        <w:t>be paid at the annual</w:t>
      </w:r>
      <w:r>
        <w:rPr>
          <w:rFonts w:ascii="Arial" w:cs="Arial" w:eastAsia="Arial" w:hAnsi="Arial"/>
          <w:sz w:val="18"/>
          <w:szCs w:val="18"/>
          <w:color w:val="333334"/>
        </w:rPr>
        <w:t xml:space="preserve"> rate </w:t>
      </w:r>
      <w:r>
        <w:rPr>
          <w:rFonts w:ascii="Arial" w:cs="Arial" w:eastAsia="Arial" w:hAnsi="Arial"/>
          <w:sz w:val="18"/>
          <w:szCs w:val="18"/>
          <w:color w:val="000000"/>
        </w:rPr>
        <w:t>of $1,709,800, less</w:t>
      </w:r>
      <w:r>
        <w:rPr>
          <w:rFonts w:ascii="Arial" w:cs="Arial" w:eastAsia="Arial" w:hAnsi="Arial"/>
          <w:sz w:val="18"/>
          <w:szCs w:val="18"/>
          <w:color w:val="333334"/>
        </w:rPr>
        <w:t xml:space="preserve"> payroll </w:t>
      </w:r>
      <w:r>
        <w:rPr>
          <w:rFonts w:ascii="Arial" w:cs="Arial" w:eastAsia="Arial" w:hAnsi="Arial"/>
          <w:sz w:val="18"/>
          <w:szCs w:val="18"/>
          <w:color w:val="000000"/>
        </w:rPr>
        <w:t>deductions and</w:t>
      </w:r>
      <w:r>
        <w:rPr>
          <w:rFonts w:ascii="Arial" w:cs="Arial" w:eastAsia="Arial" w:hAnsi="Arial"/>
          <w:sz w:val="18"/>
          <w:szCs w:val="18"/>
          <w:color w:val="333334"/>
        </w:rPr>
        <w:t xml:space="preserve"> withholdings, on </w:t>
      </w:r>
      <w:r>
        <w:rPr>
          <w:rFonts w:ascii="Arial" w:cs="Arial" w:eastAsia="Arial" w:hAnsi="Arial"/>
          <w:sz w:val="18"/>
          <w:szCs w:val="18"/>
          <w:color w:val="000000"/>
        </w:rPr>
        <w:t>the Company’s</w:t>
      </w:r>
      <w:r>
        <w:rPr>
          <w:rFonts w:ascii="Arial" w:cs="Arial" w:eastAsia="Arial" w:hAnsi="Arial"/>
          <w:sz w:val="18"/>
          <w:szCs w:val="18"/>
          <w:color w:val="333334"/>
        </w:rPr>
        <w:t xml:space="preserve"> normal </w:t>
      </w:r>
      <w:r>
        <w:rPr>
          <w:rFonts w:ascii="Arial" w:cs="Arial" w:eastAsia="Arial" w:hAnsi="Arial"/>
          <w:sz w:val="18"/>
          <w:szCs w:val="18"/>
          <w:color w:val="000000"/>
        </w:rPr>
        <w:t>payroll schedu</w:t>
      </w:r>
      <w:r>
        <w:rPr>
          <w:rFonts w:ascii="Arial" w:cs="Arial" w:eastAsia="Arial" w:hAnsi="Arial"/>
          <w:sz w:val="18"/>
          <w:szCs w:val="18"/>
          <w:color w:val="515152"/>
        </w:rPr>
        <w:t>l</w:t>
      </w:r>
      <w:r>
        <w:rPr>
          <w:rFonts w:ascii="Arial" w:cs="Arial" w:eastAsia="Arial" w:hAnsi="Arial"/>
          <w:sz w:val="18"/>
          <w:szCs w:val="18"/>
          <w:color w:val="333334"/>
        </w:rPr>
        <w:t xml:space="preserve">e. You </w:t>
      </w:r>
      <w:r>
        <w:rPr>
          <w:rFonts w:ascii="Arial" w:cs="Arial" w:eastAsia="Arial" w:hAnsi="Arial"/>
          <w:sz w:val="18"/>
          <w:szCs w:val="18"/>
          <w:color w:val="000000"/>
        </w:rPr>
        <w:t>will</w:t>
      </w:r>
      <w:r>
        <w:rPr>
          <w:rFonts w:ascii="Arial" w:cs="Arial" w:eastAsia="Arial" w:hAnsi="Arial"/>
          <w:sz w:val="18"/>
          <w:szCs w:val="18"/>
          <w:color w:val="333334"/>
        </w:rPr>
        <w:t xml:space="preserve"> be </w:t>
      </w:r>
      <w:r>
        <w:rPr>
          <w:rFonts w:ascii="Arial" w:cs="Arial" w:eastAsia="Arial" w:hAnsi="Arial"/>
          <w:sz w:val="18"/>
          <w:szCs w:val="18"/>
          <w:color w:val="171717"/>
        </w:rPr>
        <w:t>reimbursed for</w:t>
      </w:r>
      <w:r>
        <w:rPr>
          <w:rFonts w:ascii="Arial" w:cs="Arial" w:eastAsia="Arial" w:hAnsi="Arial"/>
          <w:sz w:val="18"/>
          <w:szCs w:val="18"/>
          <w:color w:val="333334"/>
        </w:rPr>
        <w:t xml:space="preserve"> </w:t>
      </w:r>
      <w:r>
        <w:rPr>
          <w:rFonts w:ascii="Arial" w:cs="Arial" w:eastAsia="Arial" w:hAnsi="Arial"/>
          <w:sz w:val="18"/>
          <w:szCs w:val="18"/>
          <w:color w:val="292929"/>
        </w:rPr>
        <w:t>expenses that</w:t>
      </w:r>
      <w:r>
        <w:rPr>
          <w:rFonts w:ascii="Arial" w:cs="Arial" w:eastAsia="Arial" w:hAnsi="Arial"/>
          <w:sz w:val="18"/>
          <w:szCs w:val="18"/>
          <w:color w:val="333334"/>
        </w:rPr>
        <w:t xml:space="preserve"> </w:t>
      </w:r>
      <w:r>
        <w:rPr>
          <w:rFonts w:ascii="Arial" w:cs="Arial" w:eastAsia="Arial" w:hAnsi="Arial"/>
          <w:sz w:val="18"/>
          <w:szCs w:val="18"/>
          <w:color w:val="171717"/>
        </w:rPr>
        <w:t>are</w:t>
      </w:r>
      <w:r>
        <w:rPr>
          <w:rFonts w:ascii="Arial" w:cs="Arial" w:eastAsia="Arial" w:hAnsi="Arial"/>
          <w:sz w:val="18"/>
          <w:szCs w:val="18"/>
          <w:color w:val="333334"/>
        </w:rPr>
        <w:t xml:space="preserve"> </w:t>
      </w:r>
      <w:r>
        <w:rPr>
          <w:rFonts w:ascii="Arial" w:cs="Arial" w:eastAsia="Arial" w:hAnsi="Arial"/>
          <w:sz w:val="18"/>
          <w:szCs w:val="18"/>
          <w:color w:val="292929"/>
        </w:rPr>
        <w:t>normal and customary for your role</w:t>
      </w:r>
      <w:r>
        <w:rPr>
          <w:rFonts w:ascii="Arial" w:cs="Arial" w:eastAsia="Arial" w:hAnsi="Arial"/>
          <w:sz w:val="18"/>
          <w:szCs w:val="18"/>
          <w:color w:val="333334"/>
        </w:rPr>
        <w:t xml:space="preserve"> </w:t>
      </w:r>
      <w:r>
        <w:rPr>
          <w:rFonts w:ascii="Arial" w:cs="Arial" w:eastAsia="Arial" w:hAnsi="Arial"/>
          <w:sz w:val="18"/>
          <w:szCs w:val="18"/>
          <w:color w:val="171717"/>
        </w:rPr>
        <w:t>and</w:t>
      </w:r>
      <w:r>
        <w:rPr>
          <w:rFonts w:ascii="Arial" w:cs="Arial" w:eastAsia="Arial" w:hAnsi="Arial"/>
          <w:sz w:val="18"/>
          <w:szCs w:val="18"/>
          <w:color w:val="333334"/>
        </w:rPr>
        <w:t xml:space="preserve"> </w:t>
      </w:r>
      <w:r>
        <w:rPr>
          <w:rFonts w:ascii="Arial" w:cs="Arial" w:eastAsia="Arial" w:hAnsi="Arial"/>
          <w:sz w:val="18"/>
          <w:szCs w:val="18"/>
          <w:color w:val="292929"/>
        </w:rPr>
        <w:t>follow</w:t>
      </w:r>
      <w:r>
        <w:rPr>
          <w:rFonts w:ascii="Arial" w:cs="Arial" w:eastAsia="Arial" w:hAnsi="Arial"/>
          <w:sz w:val="18"/>
          <w:szCs w:val="18"/>
          <w:color w:val="333334"/>
        </w:rPr>
        <w:t xml:space="preserve"> </w:t>
      </w:r>
      <w:r>
        <w:rPr>
          <w:rFonts w:ascii="Arial" w:cs="Arial" w:eastAsia="Arial" w:hAnsi="Arial"/>
          <w:sz w:val="18"/>
          <w:szCs w:val="18"/>
          <w:color w:val="292929"/>
        </w:rPr>
        <w:t xml:space="preserve">applicable Company policies. As </w:t>
      </w:r>
      <w:r>
        <w:rPr>
          <w:rFonts w:ascii="Arial" w:cs="Arial" w:eastAsia="Arial" w:hAnsi="Arial"/>
          <w:sz w:val="18"/>
          <w:szCs w:val="18"/>
          <w:color w:val="171717"/>
        </w:rPr>
        <w:t>an exempt</w:t>
      </w:r>
      <w:r>
        <w:rPr>
          <w:rFonts w:ascii="Arial" w:cs="Arial" w:eastAsia="Arial" w:hAnsi="Arial"/>
          <w:sz w:val="18"/>
          <w:szCs w:val="18"/>
          <w:color w:val="292929"/>
        </w:rPr>
        <w:t xml:space="preserve"> salaried employee, you will be </w:t>
      </w:r>
      <w:r>
        <w:rPr>
          <w:rFonts w:ascii="Arial" w:cs="Arial" w:eastAsia="Arial" w:hAnsi="Arial"/>
          <w:sz w:val="18"/>
          <w:szCs w:val="18"/>
          <w:color w:val="171717"/>
        </w:rPr>
        <w:t>required</w:t>
      </w:r>
      <w:r>
        <w:rPr>
          <w:rFonts w:ascii="Arial" w:cs="Arial" w:eastAsia="Arial" w:hAnsi="Arial"/>
          <w:sz w:val="18"/>
          <w:szCs w:val="18"/>
          <w:color w:val="292929"/>
        </w:rPr>
        <w:t xml:space="preserve"> to work the Company’s </w:t>
      </w:r>
      <w:r>
        <w:rPr>
          <w:rFonts w:ascii="Arial" w:cs="Arial" w:eastAsia="Arial" w:hAnsi="Arial"/>
          <w:sz w:val="18"/>
          <w:szCs w:val="18"/>
          <w:color w:val="171717"/>
        </w:rPr>
        <w:t>normal business</w:t>
      </w:r>
      <w:r>
        <w:rPr>
          <w:rFonts w:ascii="Arial" w:cs="Arial" w:eastAsia="Arial" w:hAnsi="Arial"/>
          <w:sz w:val="18"/>
          <w:szCs w:val="18"/>
          <w:color w:val="292929"/>
        </w:rPr>
        <w:t xml:space="preserve"> hours, and such additional </w:t>
      </w:r>
      <w:r>
        <w:rPr>
          <w:rFonts w:ascii="Arial" w:cs="Arial" w:eastAsia="Arial" w:hAnsi="Arial"/>
          <w:sz w:val="18"/>
          <w:szCs w:val="18"/>
          <w:color w:val="171717"/>
        </w:rPr>
        <w:t>time</w:t>
      </w:r>
      <w:r>
        <w:rPr>
          <w:rFonts w:ascii="Arial" w:cs="Arial" w:eastAsia="Arial" w:hAnsi="Arial"/>
          <w:sz w:val="18"/>
          <w:szCs w:val="18"/>
          <w:color w:val="292929"/>
        </w:rPr>
        <w:t xml:space="preserve"> as appropriate </w:t>
      </w:r>
      <w:r>
        <w:rPr>
          <w:rFonts w:ascii="Arial" w:cs="Arial" w:eastAsia="Arial" w:hAnsi="Arial"/>
          <w:sz w:val="18"/>
          <w:szCs w:val="18"/>
          <w:color w:val="171717"/>
        </w:rPr>
        <w:t>for</w:t>
      </w:r>
      <w:r>
        <w:rPr>
          <w:rFonts w:ascii="Arial" w:cs="Arial" w:eastAsia="Arial" w:hAnsi="Arial"/>
          <w:sz w:val="18"/>
          <w:szCs w:val="18"/>
          <w:color w:val="292929"/>
        </w:rPr>
        <w:t xml:space="preserve"> your work </w:t>
      </w:r>
      <w:r>
        <w:rPr>
          <w:rFonts w:ascii="Arial" w:cs="Arial" w:eastAsia="Arial" w:hAnsi="Arial"/>
          <w:sz w:val="18"/>
          <w:szCs w:val="18"/>
          <w:color w:val="171717"/>
        </w:rPr>
        <w:t>assignments</w:t>
      </w:r>
      <w:r>
        <w:rPr>
          <w:rFonts w:ascii="Arial" w:cs="Arial" w:eastAsia="Arial" w:hAnsi="Arial"/>
          <w:sz w:val="18"/>
          <w:szCs w:val="18"/>
          <w:color w:val="292929"/>
        </w:rPr>
        <w:t xml:space="preserve"> and position. You will </w:t>
      </w:r>
      <w:r>
        <w:rPr>
          <w:rFonts w:ascii="Arial" w:cs="Arial" w:eastAsia="Arial" w:hAnsi="Arial"/>
          <w:sz w:val="18"/>
          <w:szCs w:val="18"/>
          <w:color w:val="171717"/>
        </w:rPr>
        <w:t>not</w:t>
      </w:r>
      <w:r>
        <w:rPr>
          <w:rFonts w:ascii="Arial" w:cs="Arial" w:eastAsia="Arial" w:hAnsi="Arial"/>
          <w:sz w:val="18"/>
          <w:szCs w:val="18"/>
          <w:color w:val="292929"/>
        </w:rPr>
        <w:t xml:space="preserve"> be </w:t>
      </w:r>
      <w:r>
        <w:rPr>
          <w:rFonts w:ascii="Arial" w:cs="Arial" w:eastAsia="Arial" w:hAnsi="Arial"/>
          <w:sz w:val="18"/>
          <w:szCs w:val="18"/>
          <w:color w:val="171717"/>
        </w:rPr>
        <w:t>elig</w:t>
      </w:r>
      <w:r>
        <w:rPr>
          <w:rFonts w:ascii="Arial" w:cs="Arial" w:eastAsia="Arial" w:hAnsi="Arial"/>
          <w:sz w:val="18"/>
          <w:szCs w:val="18"/>
          <w:color w:val="3E3E3E"/>
        </w:rPr>
        <w:t>ible</w:t>
      </w:r>
      <w:r>
        <w:rPr>
          <w:rFonts w:ascii="Arial" w:cs="Arial" w:eastAsia="Arial" w:hAnsi="Arial"/>
          <w:sz w:val="18"/>
          <w:szCs w:val="18"/>
          <w:color w:val="292929"/>
        </w:rPr>
        <w:t xml:space="preserve"> </w:t>
      </w:r>
      <w:r>
        <w:rPr>
          <w:rFonts w:ascii="Arial" w:cs="Arial" w:eastAsia="Arial" w:hAnsi="Arial"/>
          <w:sz w:val="18"/>
          <w:szCs w:val="18"/>
          <w:color w:val="171717"/>
        </w:rPr>
        <w:t>for</w:t>
      </w:r>
      <w:r>
        <w:rPr>
          <w:rFonts w:ascii="Arial" w:cs="Arial" w:eastAsia="Arial" w:hAnsi="Arial"/>
          <w:sz w:val="18"/>
          <w:szCs w:val="18"/>
          <w:color w:val="292929"/>
        </w:rPr>
        <w:t xml:space="preserve"> overtime premiums.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92929"/>
        </w:rPr>
        <w:t>Commencing with fiscal year 2026, you will have a target annual incentive cash bonus opportunity of 125% of your base salary. Payment of the cash bonus in any fiscal year, if any, will be subject to the terms and conditions, if any, that the Board or a designated committee thereof establishes in its discretion from time to time (and shall be pro-rated for partial years). Unless otherwise expressly provided in such bonus program or the Severance Plan (as defined below), you must remain employed with the Company through the date of payment of any such bonus to be eligible to receive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458470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2" w:name="page63"/>
    <w:bookmarkEnd w:id="62"/>
    <w:p>
      <w:pPr>
        <w:jc w:val="both"/>
        <w:ind w:right="20"/>
        <w:spacing w:after="0" w:line="252" w:lineRule="auto"/>
        <w:rPr>
          <w:sz w:val="20"/>
          <w:szCs w:val="20"/>
          <w:color w:val="auto"/>
        </w:rPr>
      </w:pPr>
      <w:r>
        <w:rPr>
          <w:rFonts w:ascii="Arial" w:cs="Arial" w:eastAsia="Arial" w:hAnsi="Arial"/>
          <w:sz w:val="18"/>
          <w:szCs w:val="18"/>
          <w:color w:val="292929"/>
        </w:rPr>
        <w:t xml:space="preserve">You </w:t>
      </w:r>
      <w:r>
        <w:rPr>
          <w:rFonts w:ascii="Arial" w:cs="Arial" w:eastAsia="Arial" w:hAnsi="Arial"/>
          <w:sz w:val="18"/>
          <w:szCs w:val="18"/>
          <w:color w:val="3E3E3E"/>
        </w:rPr>
        <w:t>will</w:t>
      </w:r>
      <w:r>
        <w:rPr>
          <w:rFonts w:ascii="Arial" w:cs="Arial" w:eastAsia="Arial" w:hAnsi="Arial"/>
          <w:sz w:val="18"/>
          <w:szCs w:val="18"/>
          <w:color w:val="292929"/>
        </w:rPr>
        <w:t xml:space="preserve"> be eligible to participate </w:t>
      </w:r>
      <w:r>
        <w:rPr>
          <w:rFonts w:ascii="Arial" w:cs="Arial" w:eastAsia="Arial" w:hAnsi="Arial"/>
          <w:sz w:val="18"/>
          <w:szCs w:val="18"/>
          <w:color w:val="171717"/>
        </w:rPr>
        <w:t>in the Company’s</w:t>
      </w:r>
      <w:r>
        <w:rPr>
          <w:rFonts w:ascii="Arial" w:cs="Arial" w:eastAsia="Arial" w:hAnsi="Arial"/>
          <w:sz w:val="18"/>
          <w:szCs w:val="18"/>
          <w:color w:val="292929"/>
        </w:rPr>
        <w:t xml:space="preserve"> health and welfare, group </w:t>
      </w:r>
      <w:r>
        <w:rPr>
          <w:rFonts w:ascii="Arial" w:cs="Arial" w:eastAsia="Arial" w:hAnsi="Arial"/>
          <w:sz w:val="18"/>
          <w:szCs w:val="18"/>
          <w:color w:val="3E3E3E"/>
        </w:rPr>
        <w:t>i</w:t>
      </w:r>
      <w:r>
        <w:rPr>
          <w:rFonts w:ascii="Arial" w:cs="Arial" w:eastAsia="Arial" w:hAnsi="Arial"/>
          <w:sz w:val="18"/>
          <w:szCs w:val="18"/>
          <w:color w:val="171717"/>
        </w:rPr>
        <w:t>ns</w:t>
      </w:r>
      <w:r>
        <w:rPr>
          <w:rFonts w:ascii="Arial" w:cs="Arial" w:eastAsia="Arial" w:hAnsi="Arial"/>
          <w:sz w:val="18"/>
          <w:szCs w:val="18"/>
          <w:color w:val="3E3E3E"/>
        </w:rPr>
        <w:t>urance, retireme</w:t>
      </w:r>
      <w:r>
        <w:rPr>
          <w:rFonts w:ascii="Arial" w:cs="Arial" w:eastAsia="Arial" w:hAnsi="Arial"/>
          <w:sz w:val="18"/>
          <w:szCs w:val="18"/>
          <w:color w:val="171717"/>
        </w:rPr>
        <w:t>nt</w:t>
      </w:r>
      <w:r>
        <w:rPr>
          <w:rFonts w:ascii="Arial" w:cs="Arial" w:eastAsia="Arial" w:hAnsi="Arial"/>
          <w:sz w:val="18"/>
          <w:szCs w:val="18"/>
          <w:color w:val="292929"/>
        </w:rPr>
        <w:t xml:space="preserve"> and other employee benefit plans, programs and arrangements (pursuant </w:t>
      </w:r>
      <w:r>
        <w:rPr>
          <w:rFonts w:ascii="Arial" w:cs="Arial" w:eastAsia="Arial" w:hAnsi="Arial"/>
          <w:sz w:val="18"/>
          <w:szCs w:val="18"/>
          <w:color w:val="171717"/>
        </w:rPr>
        <w:t>to the</w:t>
      </w:r>
      <w:r>
        <w:rPr>
          <w:rFonts w:ascii="Arial" w:cs="Arial" w:eastAsia="Arial" w:hAnsi="Arial"/>
          <w:sz w:val="18"/>
          <w:szCs w:val="18"/>
          <w:color w:val="292929"/>
        </w:rPr>
        <w:t xml:space="preserve"> terms </w:t>
      </w:r>
      <w:r>
        <w:rPr>
          <w:rFonts w:ascii="Arial" w:cs="Arial" w:eastAsia="Arial" w:hAnsi="Arial"/>
          <w:sz w:val="18"/>
          <w:szCs w:val="18"/>
          <w:color w:val="171717"/>
        </w:rPr>
        <w:t>and</w:t>
      </w:r>
      <w:r>
        <w:rPr>
          <w:rFonts w:ascii="Arial" w:cs="Arial" w:eastAsia="Arial" w:hAnsi="Arial"/>
          <w:sz w:val="18"/>
          <w:szCs w:val="18"/>
          <w:color w:val="292929"/>
        </w:rPr>
        <w:t xml:space="preserve"> </w:t>
      </w:r>
      <w:r>
        <w:rPr>
          <w:rFonts w:ascii="Arial" w:cs="Arial" w:eastAsia="Arial" w:hAnsi="Arial"/>
          <w:sz w:val="18"/>
          <w:szCs w:val="18"/>
          <w:color w:val="3E3E3E"/>
        </w:rPr>
        <w:t>co</w:t>
      </w:r>
      <w:r>
        <w:rPr>
          <w:rFonts w:ascii="Arial" w:cs="Arial" w:eastAsia="Arial" w:hAnsi="Arial"/>
          <w:sz w:val="18"/>
          <w:szCs w:val="18"/>
          <w:color w:val="171717"/>
        </w:rPr>
        <w:t>nditions</w:t>
      </w:r>
      <w:r>
        <w:rPr>
          <w:rFonts w:ascii="Arial" w:cs="Arial" w:eastAsia="Arial" w:hAnsi="Arial"/>
          <w:sz w:val="18"/>
          <w:szCs w:val="18"/>
          <w:color w:val="292929"/>
        </w:rPr>
        <w:t xml:space="preserve"> of the benefit plans </w:t>
      </w:r>
      <w:r>
        <w:rPr>
          <w:rFonts w:ascii="Arial" w:cs="Arial" w:eastAsia="Arial" w:hAnsi="Arial"/>
          <w:sz w:val="18"/>
          <w:szCs w:val="18"/>
          <w:color w:val="171717"/>
        </w:rPr>
        <w:t>and</w:t>
      </w:r>
      <w:r>
        <w:rPr>
          <w:rFonts w:ascii="Arial" w:cs="Arial" w:eastAsia="Arial" w:hAnsi="Arial"/>
          <w:sz w:val="18"/>
          <w:szCs w:val="18"/>
          <w:color w:val="292929"/>
        </w:rPr>
        <w:t xml:space="preserve"> applicable policies) as are </w:t>
      </w:r>
      <w:r>
        <w:rPr>
          <w:rFonts w:ascii="Arial" w:cs="Arial" w:eastAsia="Arial" w:hAnsi="Arial"/>
          <w:sz w:val="18"/>
          <w:szCs w:val="18"/>
          <w:color w:val="171717"/>
        </w:rPr>
        <w:t>made generally</w:t>
      </w:r>
      <w:r>
        <w:rPr>
          <w:rFonts w:ascii="Arial" w:cs="Arial" w:eastAsia="Arial" w:hAnsi="Arial"/>
          <w:sz w:val="18"/>
          <w:szCs w:val="18"/>
          <w:color w:val="292929"/>
        </w:rPr>
        <w:t xml:space="preserve"> available </w:t>
      </w:r>
      <w:r>
        <w:rPr>
          <w:rFonts w:ascii="Arial" w:cs="Arial" w:eastAsia="Arial" w:hAnsi="Arial"/>
          <w:sz w:val="18"/>
          <w:szCs w:val="18"/>
          <w:color w:val="171717"/>
        </w:rPr>
        <w:t>from time to time to</w:t>
      </w:r>
      <w:r>
        <w:rPr>
          <w:rFonts w:ascii="Arial" w:cs="Arial" w:eastAsia="Arial" w:hAnsi="Arial"/>
          <w:sz w:val="18"/>
          <w:szCs w:val="18"/>
          <w:color w:val="292929"/>
        </w:rPr>
        <w:t xml:space="preserve"> executives of </w:t>
      </w:r>
      <w:r>
        <w:rPr>
          <w:rFonts w:ascii="Arial" w:cs="Arial" w:eastAsia="Arial" w:hAnsi="Arial"/>
          <w:sz w:val="18"/>
          <w:szCs w:val="18"/>
          <w:color w:val="3E3E3E"/>
        </w:rPr>
        <w:t>the</w:t>
      </w:r>
      <w:r>
        <w:rPr>
          <w:rFonts w:ascii="Arial" w:cs="Arial" w:eastAsia="Arial" w:hAnsi="Arial"/>
          <w:sz w:val="18"/>
          <w:szCs w:val="18"/>
          <w:color w:val="292929"/>
        </w:rPr>
        <w:t xml:space="preserve"> Company.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71717"/>
        </w:rPr>
        <w:t xml:space="preserve">You </w:t>
      </w:r>
      <w:r>
        <w:rPr>
          <w:rFonts w:ascii="Arial" w:cs="Arial" w:eastAsia="Arial" w:hAnsi="Arial"/>
          <w:sz w:val="18"/>
          <w:szCs w:val="18"/>
          <w:color w:val="292929"/>
        </w:rPr>
        <w:t>will be eligible</w:t>
      </w:r>
      <w:r>
        <w:rPr>
          <w:rFonts w:ascii="Arial" w:cs="Arial" w:eastAsia="Arial" w:hAnsi="Arial"/>
          <w:sz w:val="18"/>
          <w:szCs w:val="18"/>
          <w:color w:val="171717"/>
        </w:rPr>
        <w:t xml:space="preserve"> for 5 weeks of </w:t>
      </w:r>
      <w:r>
        <w:rPr>
          <w:rFonts w:ascii="Arial" w:cs="Arial" w:eastAsia="Arial" w:hAnsi="Arial"/>
          <w:sz w:val="18"/>
          <w:szCs w:val="18"/>
          <w:color w:val="292929"/>
        </w:rPr>
        <w:t>vacation</w:t>
      </w:r>
      <w:r>
        <w:rPr>
          <w:rFonts w:ascii="Arial" w:cs="Arial" w:eastAsia="Arial" w:hAnsi="Arial"/>
          <w:sz w:val="18"/>
          <w:szCs w:val="18"/>
          <w:color w:val="171717"/>
        </w:rPr>
        <w:t xml:space="preserve"> per </w:t>
      </w:r>
      <w:r>
        <w:rPr>
          <w:rFonts w:ascii="Arial" w:cs="Arial" w:eastAsia="Arial" w:hAnsi="Arial"/>
          <w:sz w:val="18"/>
          <w:szCs w:val="18"/>
          <w:color w:val="292929"/>
        </w:rPr>
        <w:t>year. You will earn any additional vacation according</w:t>
      </w:r>
      <w:r>
        <w:rPr>
          <w:rFonts w:ascii="Arial" w:cs="Arial" w:eastAsia="Arial" w:hAnsi="Arial"/>
          <w:sz w:val="18"/>
          <w:szCs w:val="18"/>
          <w:color w:val="171717"/>
        </w:rPr>
        <w:t xml:space="preserve"> to the Company’s </w:t>
      </w:r>
      <w:r>
        <w:rPr>
          <w:rFonts w:ascii="Arial" w:cs="Arial" w:eastAsia="Arial" w:hAnsi="Arial"/>
          <w:sz w:val="18"/>
          <w:szCs w:val="18"/>
          <w:color w:val="292929"/>
        </w:rPr>
        <w:t xml:space="preserve">vacation </w:t>
      </w:r>
      <w:r>
        <w:rPr>
          <w:rFonts w:ascii="Arial" w:cs="Arial" w:eastAsia="Arial" w:hAnsi="Arial"/>
          <w:sz w:val="18"/>
          <w:szCs w:val="18"/>
          <w:color w:val="171717"/>
        </w:rPr>
        <w:t>policy</w:t>
      </w:r>
      <w:r>
        <w:rPr>
          <w:rFonts w:ascii="Arial" w:cs="Arial" w:eastAsia="Arial" w:hAnsi="Arial"/>
          <w:sz w:val="18"/>
          <w:szCs w:val="18"/>
          <w:color w:val="3E3E3E"/>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92929"/>
        </w:rPr>
        <w:t>IPO and Equity Awards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92929"/>
        </w:rPr>
        <w:t xml:space="preserve">In connection with the IPO, subject to the approval of the Board (or a committee thereof), you will be granted </w:t>
      </w:r>
      <w:r>
        <w:rPr>
          <w:rFonts w:ascii="Arial" w:cs="Arial" w:eastAsia="Arial" w:hAnsi="Arial"/>
          <w:sz w:val="18"/>
          <w:szCs w:val="18"/>
          <w:color w:val="000000"/>
        </w:rPr>
        <w:t>restricted stock</w:t>
      </w:r>
      <w:r>
        <w:rPr>
          <w:rFonts w:ascii="Arial" w:cs="Arial" w:eastAsia="Arial" w:hAnsi="Arial"/>
          <w:sz w:val="18"/>
          <w:szCs w:val="18"/>
          <w:color w:val="292929"/>
        </w:rPr>
        <w:t xml:space="preserve"> </w:t>
      </w:r>
      <w:r>
        <w:rPr>
          <w:rFonts w:ascii="Arial" w:cs="Arial" w:eastAsia="Arial" w:hAnsi="Arial"/>
          <w:sz w:val="18"/>
          <w:szCs w:val="18"/>
          <w:color w:val="000000"/>
        </w:rPr>
        <w:t xml:space="preserve">units with respect to shares of Class A common stock of Yesway with an aggregate grant date value of $21,600,000 and performance stock units with respect to shares of Class A common stock of Yesway </w:t>
      </w:r>
      <w:r>
        <w:rPr>
          <w:rFonts w:ascii="Arial" w:cs="Arial" w:eastAsia="Arial" w:hAnsi="Arial"/>
          <w:sz w:val="18"/>
          <w:szCs w:val="18"/>
          <w:color w:val="292929"/>
        </w:rPr>
        <w:t>with an aggregate grant date value of</w:t>
      </w:r>
      <w:r>
        <w:rPr>
          <w:rFonts w:ascii="Arial" w:cs="Arial" w:eastAsia="Arial" w:hAnsi="Arial"/>
          <w:sz w:val="18"/>
          <w:szCs w:val="18"/>
          <w:color w:val="000000"/>
        </w:rPr>
        <w:t xml:space="preserve"> </w:t>
      </w:r>
      <w:r>
        <w:rPr>
          <w:rFonts w:ascii="Arial" w:cs="Arial" w:eastAsia="Arial" w:hAnsi="Arial"/>
          <w:sz w:val="18"/>
          <w:szCs w:val="18"/>
          <w:color w:val="292929"/>
        </w:rPr>
        <w:t>$21,600,000 under Yesway’s 2026 Incentive Award Plan (the “</w:t>
      </w:r>
      <w:r>
        <w:rPr>
          <w:rFonts w:ascii="Arial" w:cs="Arial" w:eastAsia="Arial" w:hAnsi="Arial"/>
          <w:sz w:val="18"/>
          <w:szCs w:val="18"/>
          <w:b w:val="1"/>
          <w:bCs w:val="1"/>
          <w:color w:val="292929"/>
        </w:rPr>
        <w:t>2026 Plan</w:t>
      </w:r>
      <w:r>
        <w:rPr>
          <w:rFonts w:ascii="Arial" w:cs="Arial" w:eastAsia="Arial" w:hAnsi="Arial"/>
          <w:sz w:val="18"/>
          <w:szCs w:val="18"/>
          <w:color w:val="292929"/>
        </w:rPr>
        <w:t>”) and an applicable award agreement thereunder.</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92929"/>
        </w:rPr>
        <w:t>During your employment with the Company, you will be eligible to participate in the 2026 Plan or other equity incentive plan then in effect and receive equity awards thereunder, as determined by the Board (or a committee thereof) in its discretion and subject to the terms of the 2026 Plan or other equity incentive plan then in effect and an applicable award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C1C1C"/>
        </w:rPr>
        <w:t>Severance Benefits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will be eligible to participate in the Yesway, Inc. Executive Severance Plan (as amended and restated from time to time, the “</w:t>
      </w:r>
      <w:r>
        <w:rPr>
          <w:rFonts w:ascii="Arial" w:cs="Arial" w:eastAsia="Arial" w:hAnsi="Arial"/>
          <w:sz w:val="18"/>
          <w:szCs w:val="18"/>
          <w:b w:val="1"/>
          <w:bCs w:val="1"/>
          <w:color w:val="auto"/>
        </w:rPr>
        <w:t>Severance Plan</w:t>
      </w:r>
      <w:r>
        <w:rPr>
          <w:rFonts w:ascii="Arial" w:cs="Arial" w:eastAsia="Arial" w:hAnsi="Arial"/>
          <w:sz w:val="18"/>
          <w:szCs w:val="18"/>
          <w:color w:val="auto"/>
        </w:rPr>
        <w:t>”), a copy of which has been provided to you. By signing this Agreement, you are acknowledging such participation and your understanding that you are agreeing to all of the terms and conditions of the Severance Plan, including certain promises and covenants contained in Section 9 of the Severance Plan (which apply regardless of whether you receive any payments or benefits under the Severance Plan). You should read the entire Severance Plan carefully.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C1C1C"/>
        </w:rPr>
        <w:t>Section 409A</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C1C1C"/>
        </w:rPr>
        <w:t>Notwith</w:t>
      </w:r>
      <w:r>
        <w:rPr>
          <w:rFonts w:ascii="Arial" w:cs="Arial" w:eastAsia="Arial" w:hAnsi="Arial"/>
          <w:sz w:val="18"/>
          <w:szCs w:val="18"/>
          <w:color w:val="434343"/>
        </w:rPr>
        <w:t>sta</w:t>
      </w:r>
      <w:r>
        <w:rPr>
          <w:rFonts w:ascii="Arial" w:cs="Arial" w:eastAsia="Arial" w:hAnsi="Arial"/>
          <w:sz w:val="18"/>
          <w:szCs w:val="18"/>
          <w:color w:val="1C1C1C"/>
        </w:rPr>
        <w:t xml:space="preserve">nding </w:t>
      </w:r>
      <w:r>
        <w:rPr>
          <w:rFonts w:ascii="Arial" w:cs="Arial" w:eastAsia="Arial" w:hAnsi="Arial"/>
          <w:sz w:val="18"/>
          <w:szCs w:val="18"/>
          <w:color w:val="2C2C2C"/>
        </w:rPr>
        <w:t>anything</w:t>
      </w:r>
      <w:r>
        <w:rPr>
          <w:rFonts w:ascii="Arial" w:cs="Arial" w:eastAsia="Arial" w:hAnsi="Arial"/>
          <w:sz w:val="18"/>
          <w:szCs w:val="18"/>
          <w:color w:val="1C1C1C"/>
        </w:rPr>
        <w:t xml:space="preserve"> herein to </w:t>
      </w:r>
      <w:r>
        <w:rPr>
          <w:rFonts w:ascii="Arial" w:cs="Arial" w:eastAsia="Arial" w:hAnsi="Arial"/>
          <w:sz w:val="18"/>
          <w:szCs w:val="18"/>
          <w:color w:val="2C2C2C"/>
        </w:rPr>
        <w:t>the</w:t>
      </w:r>
      <w:r>
        <w:rPr>
          <w:rFonts w:ascii="Arial" w:cs="Arial" w:eastAsia="Arial" w:hAnsi="Arial"/>
          <w:sz w:val="18"/>
          <w:szCs w:val="18"/>
          <w:color w:val="1C1C1C"/>
        </w:rPr>
        <w:t xml:space="preserve"> </w:t>
      </w:r>
      <w:r>
        <w:rPr>
          <w:rFonts w:ascii="Arial" w:cs="Arial" w:eastAsia="Arial" w:hAnsi="Arial"/>
          <w:sz w:val="18"/>
          <w:szCs w:val="18"/>
          <w:color w:val="434343"/>
        </w:rPr>
        <w:t>co</w:t>
      </w:r>
      <w:r>
        <w:rPr>
          <w:rFonts w:ascii="Arial" w:cs="Arial" w:eastAsia="Arial" w:hAnsi="Arial"/>
          <w:sz w:val="18"/>
          <w:szCs w:val="18"/>
          <w:color w:val="1C1C1C"/>
        </w:rPr>
        <w:t>ntrary</w:t>
      </w:r>
      <w:r>
        <w:rPr>
          <w:rFonts w:ascii="Arial" w:cs="Arial" w:eastAsia="Arial" w:hAnsi="Arial"/>
          <w:sz w:val="18"/>
          <w:szCs w:val="18"/>
          <w:color w:val="434343"/>
        </w:rPr>
        <w:t>,</w:t>
      </w:r>
      <w:r>
        <w:rPr>
          <w:rFonts w:ascii="Arial" w:cs="Arial" w:eastAsia="Arial" w:hAnsi="Arial"/>
          <w:sz w:val="18"/>
          <w:szCs w:val="18"/>
          <w:color w:val="1C1C1C"/>
        </w:rPr>
        <w:t xml:space="preserve"> this </w:t>
      </w:r>
      <w:r>
        <w:rPr>
          <w:rFonts w:ascii="Arial" w:cs="Arial" w:eastAsia="Arial" w:hAnsi="Arial"/>
          <w:sz w:val="18"/>
          <w:szCs w:val="18"/>
          <w:color w:val="2C2C2C"/>
        </w:rPr>
        <w:t>Agreement</w:t>
      </w:r>
      <w:r>
        <w:rPr>
          <w:rFonts w:ascii="Arial" w:cs="Arial" w:eastAsia="Arial" w:hAnsi="Arial"/>
          <w:sz w:val="18"/>
          <w:szCs w:val="18"/>
          <w:color w:val="1C1C1C"/>
        </w:rPr>
        <w:t xml:space="preserve"> is </w:t>
      </w:r>
      <w:r>
        <w:rPr>
          <w:rFonts w:ascii="Arial" w:cs="Arial" w:eastAsia="Arial" w:hAnsi="Arial"/>
          <w:sz w:val="18"/>
          <w:szCs w:val="18"/>
          <w:color w:val="2C2C2C"/>
        </w:rPr>
        <w:t>intended to be interpreted and applied</w:t>
      </w:r>
      <w:r>
        <w:rPr>
          <w:rFonts w:ascii="Arial" w:cs="Arial" w:eastAsia="Arial" w:hAnsi="Arial"/>
          <w:sz w:val="18"/>
          <w:szCs w:val="18"/>
          <w:color w:val="1C1C1C"/>
        </w:rPr>
        <w:t xml:space="preserve"> so that the </w:t>
      </w:r>
      <w:r>
        <w:rPr>
          <w:rFonts w:ascii="Arial" w:cs="Arial" w:eastAsia="Arial" w:hAnsi="Arial"/>
          <w:sz w:val="18"/>
          <w:szCs w:val="18"/>
          <w:color w:val="2C2C2C"/>
        </w:rPr>
        <w:t xml:space="preserve">payment of the benefits </w:t>
      </w:r>
      <w:r>
        <w:rPr>
          <w:rFonts w:ascii="Arial" w:cs="Arial" w:eastAsia="Arial" w:hAnsi="Arial"/>
          <w:sz w:val="18"/>
          <w:szCs w:val="18"/>
          <w:color w:val="1C1C1C"/>
        </w:rPr>
        <w:t>set</w:t>
      </w:r>
      <w:r>
        <w:rPr>
          <w:rFonts w:ascii="Arial" w:cs="Arial" w:eastAsia="Arial" w:hAnsi="Arial"/>
          <w:sz w:val="18"/>
          <w:szCs w:val="18"/>
          <w:color w:val="2C2C2C"/>
        </w:rPr>
        <w:t xml:space="preserve"> forth </w:t>
      </w:r>
      <w:r>
        <w:rPr>
          <w:rFonts w:ascii="Arial" w:cs="Arial" w:eastAsia="Arial" w:hAnsi="Arial"/>
          <w:sz w:val="18"/>
          <w:szCs w:val="18"/>
          <w:color w:val="1C1C1C"/>
        </w:rPr>
        <w:t>herein</w:t>
      </w:r>
      <w:r>
        <w:rPr>
          <w:rFonts w:ascii="Arial" w:cs="Arial" w:eastAsia="Arial" w:hAnsi="Arial"/>
          <w:sz w:val="18"/>
          <w:szCs w:val="18"/>
          <w:color w:val="2C2C2C"/>
        </w:rPr>
        <w:t xml:space="preserve"> shall either be exempt from the </w:t>
      </w:r>
      <w:r>
        <w:rPr>
          <w:rFonts w:ascii="Arial" w:cs="Arial" w:eastAsia="Arial" w:hAnsi="Arial"/>
          <w:sz w:val="18"/>
          <w:szCs w:val="18"/>
          <w:color w:val="434343"/>
        </w:rPr>
        <w:t>requiremen</w:t>
      </w:r>
      <w:r>
        <w:rPr>
          <w:rFonts w:ascii="Arial" w:cs="Arial" w:eastAsia="Arial" w:hAnsi="Arial"/>
          <w:sz w:val="18"/>
          <w:szCs w:val="18"/>
          <w:color w:val="1C1C1C"/>
        </w:rPr>
        <w:t>ts</w:t>
      </w:r>
      <w:r>
        <w:rPr>
          <w:rFonts w:ascii="Arial" w:cs="Arial" w:eastAsia="Arial" w:hAnsi="Arial"/>
          <w:sz w:val="18"/>
          <w:szCs w:val="18"/>
          <w:color w:val="2C2C2C"/>
        </w:rPr>
        <w:t xml:space="preserve"> of </w:t>
      </w:r>
      <w:r>
        <w:rPr>
          <w:rFonts w:ascii="Arial" w:cs="Arial" w:eastAsia="Arial" w:hAnsi="Arial"/>
          <w:sz w:val="18"/>
          <w:szCs w:val="18"/>
          <w:color w:val="1C1C1C"/>
        </w:rPr>
        <w:t>Section</w:t>
      </w:r>
      <w:r>
        <w:rPr>
          <w:rFonts w:ascii="Arial" w:cs="Arial" w:eastAsia="Arial" w:hAnsi="Arial"/>
          <w:sz w:val="18"/>
          <w:szCs w:val="18"/>
          <w:color w:val="2C2C2C"/>
        </w:rPr>
        <w:t xml:space="preserve"> 409A of </w:t>
      </w:r>
      <w:r>
        <w:rPr>
          <w:rFonts w:ascii="Arial" w:cs="Arial" w:eastAsia="Arial" w:hAnsi="Arial"/>
          <w:sz w:val="18"/>
          <w:szCs w:val="18"/>
          <w:color w:val="1C1C1C"/>
        </w:rPr>
        <w:t>the Internal</w:t>
      </w:r>
      <w:r>
        <w:rPr>
          <w:rFonts w:ascii="Arial" w:cs="Arial" w:eastAsia="Arial" w:hAnsi="Arial"/>
          <w:sz w:val="18"/>
          <w:szCs w:val="18"/>
          <w:color w:val="2C2C2C"/>
        </w:rPr>
        <w:t xml:space="preserve"> </w:t>
      </w:r>
      <w:r>
        <w:rPr>
          <w:rFonts w:ascii="Arial" w:cs="Arial" w:eastAsia="Arial" w:hAnsi="Arial"/>
          <w:sz w:val="18"/>
          <w:szCs w:val="18"/>
          <w:color w:val="1C1C1C"/>
        </w:rPr>
        <w:t xml:space="preserve">Revenue </w:t>
      </w:r>
      <w:r>
        <w:rPr>
          <w:rFonts w:ascii="Arial" w:cs="Arial" w:eastAsia="Arial" w:hAnsi="Arial"/>
          <w:sz w:val="18"/>
          <w:szCs w:val="18"/>
          <w:color w:val="2C2C2C"/>
        </w:rPr>
        <w:t>Code of 1986, as amended (the “</w:t>
      </w:r>
      <w:r>
        <w:rPr>
          <w:rFonts w:ascii="Arial" w:cs="Arial" w:eastAsia="Arial" w:hAnsi="Arial"/>
          <w:sz w:val="18"/>
          <w:szCs w:val="18"/>
          <w:b w:val="1"/>
          <w:bCs w:val="1"/>
          <w:color w:val="2C2C2C"/>
        </w:rPr>
        <w:t>Code</w:t>
      </w:r>
      <w:r>
        <w:rPr>
          <w:rFonts w:ascii="Arial" w:cs="Arial" w:eastAsia="Arial" w:hAnsi="Arial"/>
          <w:sz w:val="18"/>
          <w:szCs w:val="18"/>
          <w:color w:val="2C2C2C"/>
        </w:rPr>
        <w:t>”)</w:t>
      </w:r>
      <w:r>
        <w:rPr>
          <w:rFonts w:ascii="Arial" w:cs="Arial" w:eastAsia="Arial" w:hAnsi="Arial"/>
          <w:sz w:val="18"/>
          <w:szCs w:val="18"/>
          <w:color w:val="1C1C1C"/>
        </w:rPr>
        <w:t xml:space="preserve"> </w:t>
      </w:r>
      <w:r>
        <w:rPr>
          <w:rFonts w:ascii="Arial" w:cs="Arial" w:eastAsia="Arial" w:hAnsi="Arial"/>
          <w:sz w:val="18"/>
          <w:szCs w:val="18"/>
          <w:color w:val="434343"/>
        </w:rPr>
        <w:t>(together with the Department of Treasury Regulations and other</w:t>
      </w:r>
      <w:r>
        <w:rPr>
          <w:rFonts w:ascii="Arial" w:cs="Arial" w:eastAsia="Arial" w:hAnsi="Arial"/>
          <w:sz w:val="18"/>
          <w:szCs w:val="18"/>
          <w:color w:val="1C1C1C"/>
        </w:rPr>
        <w:t xml:space="preserve"> </w:t>
      </w:r>
      <w:r>
        <w:rPr>
          <w:rFonts w:ascii="Arial" w:cs="Arial" w:eastAsia="Arial" w:hAnsi="Arial"/>
          <w:sz w:val="18"/>
          <w:szCs w:val="18"/>
          <w:color w:val="434343"/>
        </w:rPr>
        <w:t>guidance thereunder, “</w:t>
      </w:r>
      <w:r>
        <w:rPr>
          <w:rFonts w:ascii="Arial" w:cs="Arial" w:eastAsia="Arial" w:hAnsi="Arial"/>
          <w:sz w:val="18"/>
          <w:szCs w:val="18"/>
          <w:b w:val="1"/>
          <w:bCs w:val="1"/>
          <w:color w:val="1C1C1C"/>
        </w:rPr>
        <w:t>Section 409A</w:t>
      </w:r>
      <w:r>
        <w:rPr>
          <w:rFonts w:ascii="Arial" w:cs="Arial" w:eastAsia="Arial" w:hAnsi="Arial"/>
          <w:sz w:val="18"/>
          <w:szCs w:val="18"/>
          <w:color w:val="434343"/>
        </w:rPr>
        <w:t>”) o</w:t>
      </w:r>
      <w:r>
        <w:rPr>
          <w:rFonts w:ascii="Arial" w:cs="Arial" w:eastAsia="Arial" w:hAnsi="Arial"/>
          <w:sz w:val="18"/>
          <w:szCs w:val="18"/>
          <w:color w:val="1C1C1C"/>
        </w:rPr>
        <w:t>r</w:t>
      </w:r>
      <w:r>
        <w:rPr>
          <w:rFonts w:ascii="Arial" w:cs="Arial" w:eastAsia="Arial" w:hAnsi="Arial"/>
          <w:sz w:val="18"/>
          <w:szCs w:val="18"/>
          <w:color w:val="434343"/>
        </w:rPr>
        <w:t xml:space="preserve"> </w:t>
      </w:r>
      <w:r>
        <w:rPr>
          <w:rFonts w:ascii="Arial" w:cs="Arial" w:eastAsia="Arial" w:hAnsi="Arial"/>
          <w:sz w:val="18"/>
          <w:szCs w:val="18"/>
          <w:color w:val="2C2C2C"/>
        </w:rPr>
        <w:t>shall</w:t>
      </w:r>
      <w:r>
        <w:rPr>
          <w:rFonts w:ascii="Arial" w:cs="Arial" w:eastAsia="Arial" w:hAnsi="Arial"/>
          <w:sz w:val="18"/>
          <w:szCs w:val="18"/>
          <w:color w:val="434343"/>
        </w:rPr>
        <w:t xml:space="preserve"> comply </w:t>
      </w:r>
      <w:r>
        <w:rPr>
          <w:rFonts w:ascii="Arial" w:cs="Arial" w:eastAsia="Arial" w:hAnsi="Arial"/>
          <w:sz w:val="18"/>
          <w:szCs w:val="18"/>
          <w:color w:val="2C2C2C"/>
        </w:rPr>
        <w:t>with</w:t>
      </w:r>
      <w:r>
        <w:rPr>
          <w:rFonts w:ascii="Arial" w:cs="Arial" w:eastAsia="Arial" w:hAnsi="Arial"/>
          <w:sz w:val="18"/>
          <w:szCs w:val="18"/>
          <w:color w:val="434343"/>
        </w:rPr>
        <w:t xml:space="preserve"> </w:t>
      </w:r>
      <w:r>
        <w:rPr>
          <w:rFonts w:ascii="Arial" w:cs="Arial" w:eastAsia="Arial" w:hAnsi="Arial"/>
          <w:sz w:val="18"/>
          <w:szCs w:val="18"/>
          <w:color w:val="1C1C1C"/>
        </w:rPr>
        <w:t>the requirements</w:t>
      </w:r>
      <w:r>
        <w:rPr>
          <w:rFonts w:ascii="Arial" w:cs="Arial" w:eastAsia="Arial" w:hAnsi="Arial"/>
          <w:sz w:val="18"/>
          <w:szCs w:val="18"/>
          <w:color w:val="434343"/>
        </w:rPr>
        <w:t xml:space="preserve"> </w:t>
      </w:r>
      <w:r>
        <w:rPr>
          <w:rFonts w:ascii="Arial" w:cs="Arial" w:eastAsia="Arial" w:hAnsi="Arial"/>
          <w:sz w:val="18"/>
          <w:szCs w:val="18"/>
          <w:color w:val="2C2C2C"/>
        </w:rPr>
        <w:t>of such</w:t>
      </w:r>
      <w:r>
        <w:rPr>
          <w:rFonts w:ascii="Arial" w:cs="Arial" w:eastAsia="Arial" w:hAnsi="Arial"/>
          <w:sz w:val="18"/>
          <w:szCs w:val="18"/>
          <w:color w:val="434343"/>
        </w:rPr>
        <w:t xml:space="preserve"> prov</w:t>
      </w:r>
      <w:r>
        <w:rPr>
          <w:rFonts w:ascii="Arial" w:cs="Arial" w:eastAsia="Arial" w:hAnsi="Arial"/>
          <w:sz w:val="18"/>
          <w:szCs w:val="18"/>
          <w:color w:val="1C1C1C"/>
        </w:rPr>
        <w:t>is</w:t>
      </w:r>
      <w:r>
        <w:rPr>
          <w:rFonts w:ascii="Arial" w:cs="Arial" w:eastAsia="Arial" w:hAnsi="Arial"/>
          <w:sz w:val="18"/>
          <w:szCs w:val="18"/>
          <w:color w:val="434343"/>
        </w:rPr>
        <w:t xml:space="preserve">ion. </w:t>
      </w:r>
      <w:r>
        <w:rPr>
          <w:rFonts w:ascii="Arial" w:cs="Arial" w:eastAsia="Arial" w:hAnsi="Arial"/>
          <w:sz w:val="18"/>
          <w:szCs w:val="18"/>
          <w:color w:val="2C2C2C"/>
        </w:rPr>
        <w:t>After the</w:t>
      </w:r>
      <w:r>
        <w:rPr>
          <w:rFonts w:ascii="Arial" w:cs="Arial" w:eastAsia="Arial" w:hAnsi="Arial"/>
          <w:sz w:val="18"/>
          <w:szCs w:val="18"/>
          <w:color w:val="434343"/>
        </w:rPr>
        <w:t xml:space="preserve"> </w:t>
      </w:r>
      <w:r>
        <w:rPr>
          <w:rFonts w:ascii="Arial" w:cs="Arial" w:eastAsia="Arial" w:hAnsi="Arial"/>
          <w:sz w:val="18"/>
          <w:szCs w:val="18"/>
          <w:color w:val="1C1C1C"/>
        </w:rPr>
        <w:t>Ter</w:t>
      </w:r>
      <w:r>
        <w:rPr>
          <w:rFonts w:ascii="Arial" w:cs="Arial" w:eastAsia="Arial" w:hAnsi="Arial"/>
          <w:sz w:val="18"/>
          <w:szCs w:val="18"/>
          <w:color w:val="434343"/>
        </w:rPr>
        <w:t xml:space="preserve">mination </w:t>
      </w:r>
      <w:r>
        <w:rPr>
          <w:rFonts w:ascii="Arial" w:cs="Arial" w:eastAsia="Arial" w:hAnsi="Arial"/>
          <w:sz w:val="18"/>
          <w:szCs w:val="18"/>
          <w:color w:val="1C1C1C"/>
        </w:rPr>
        <w:t>Date</w:t>
      </w:r>
      <w:r>
        <w:rPr>
          <w:rFonts w:ascii="Arial" w:cs="Arial" w:eastAsia="Arial" w:hAnsi="Arial"/>
          <w:sz w:val="18"/>
          <w:szCs w:val="18"/>
          <w:color w:val="646464"/>
        </w:rPr>
        <w:t>,</w:t>
      </w:r>
      <w:r>
        <w:rPr>
          <w:rFonts w:ascii="Arial" w:cs="Arial" w:eastAsia="Arial" w:hAnsi="Arial"/>
          <w:sz w:val="18"/>
          <w:szCs w:val="18"/>
          <w:color w:val="434343"/>
        </w:rPr>
        <w:t xml:space="preserve"> </w:t>
      </w:r>
      <w:r>
        <w:rPr>
          <w:rFonts w:ascii="Arial" w:cs="Arial" w:eastAsia="Arial" w:hAnsi="Arial"/>
          <w:sz w:val="18"/>
          <w:szCs w:val="18"/>
          <w:color w:val="2C2C2C"/>
        </w:rPr>
        <w:t xml:space="preserve">you </w:t>
      </w:r>
      <w:r>
        <w:rPr>
          <w:rFonts w:ascii="Arial" w:cs="Arial" w:eastAsia="Arial" w:hAnsi="Arial"/>
          <w:sz w:val="18"/>
          <w:szCs w:val="18"/>
          <w:color w:val="1C1C1C"/>
        </w:rPr>
        <w:t>shall have no</w:t>
      </w:r>
      <w:r>
        <w:rPr>
          <w:rFonts w:ascii="Arial" w:cs="Arial" w:eastAsia="Arial" w:hAnsi="Arial"/>
          <w:sz w:val="18"/>
          <w:szCs w:val="18"/>
          <w:color w:val="2C2C2C"/>
        </w:rPr>
        <w:t xml:space="preserve"> duties or </w:t>
      </w:r>
      <w:r>
        <w:rPr>
          <w:rFonts w:ascii="Arial" w:cs="Arial" w:eastAsia="Arial" w:hAnsi="Arial"/>
          <w:sz w:val="18"/>
          <w:szCs w:val="18"/>
          <w:color w:val="1C1C1C"/>
        </w:rPr>
        <w:t>responsibilities</w:t>
      </w:r>
      <w:r>
        <w:rPr>
          <w:rFonts w:ascii="Arial" w:cs="Arial" w:eastAsia="Arial" w:hAnsi="Arial"/>
          <w:sz w:val="18"/>
          <w:szCs w:val="18"/>
          <w:color w:val="2C2C2C"/>
        </w:rPr>
        <w:t xml:space="preserve"> that </w:t>
      </w:r>
      <w:r>
        <w:rPr>
          <w:rFonts w:ascii="Arial" w:cs="Arial" w:eastAsia="Arial" w:hAnsi="Arial"/>
          <w:sz w:val="18"/>
          <w:szCs w:val="18"/>
          <w:color w:val="1C1C1C"/>
        </w:rPr>
        <w:t>are inconsistent</w:t>
      </w:r>
      <w:r>
        <w:rPr>
          <w:rFonts w:ascii="Arial" w:cs="Arial" w:eastAsia="Arial" w:hAnsi="Arial"/>
          <w:sz w:val="18"/>
          <w:szCs w:val="18"/>
          <w:color w:val="2C2C2C"/>
        </w:rPr>
        <w:t xml:space="preserve"> with </w:t>
      </w:r>
      <w:r>
        <w:rPr>
          <w:rFonts w:ascii="Arial" w:cs="Arial" w:eastAsia="Arial" w:hAnsi="Arial"/>
          <w:sz w:val="18"/>
          <w:szCs w:val="18"/>
          <w:color w:val="1C1C1C"/>
        </w:rPr>
        <w:t>hav</w:t>
      </w:r>
      <w:r>
        <w:rPr>
          <w:rFonts w:ascii="Arial" w:cs="Arial" w:eastAsia="Arial" w:hAnsi="Arial"/>
          <w:sz w:val="18"/>
          <w:szCs w:val="18"/>
          <w:color w:val="434343"/>
        </w:rPr>
        <w:t>i</w:t>
      </w:r>
      <w:r>
        <w:rPr>
          <w:rFonts w:ascii="Arial" w:cs="Arial" w:eastAsia="Arial" w:hAnsi="Arial"/>
          <w:sz w:val="18"/>
          <w:szCs w:val="18"/>
          <w:color w:val="1C1C1C"/>
        </w:rPr>
        <w:t>ng</w:t>
      </w:r>
      <w:r>
        <w:rPr>
          <w:rFonts w:ascii="Arial" w:cs="Arial" w:eastAsia="Arial" w:hAnsi="Arial"/>
          <w:sz w:val="18"/>
          <w:szCs w:val="18"/>
          <w:color w:val="2C2C2C"/>
        </w:rPr>
        <w:t xml:space="preserve"> a </w:t>
      </w:r>
      <w:r>
        <w:rPr>
          <w:rFonts w:ascii="Arial" w:cs="Arial" w:eastAsia="Arial" w:hAnsi="Arial"/>
          <w:sz w:val="18"/>
          <w:szCs w:val="18"/>
          <w:color w:val="646464"/>
        </w:rPr>
        <w:t>“</w:t>
      </w:r>
      <w:r>
        <w:rPr>
          <w:rFonts w:ascii="Arial" w:cs="Arial" w:eastAsia="Arial" w:hAnsi="Arial"/>
          <w:sz w:val="18"/>
          <w:szCs w:val="18"/>
          <w:color w:val="2C2C2C"/>
        </w:rPr>
        <w:t xml:space="preserve">separation </w:t>
      </w:r>
      <w:r>
        <w:rPr>
          <w:rFonts w:ascii="Arial" w:cs="Arial" w:eastAsia="Arial" w:hAnsi="Arial"/>
          <w:sz w:val="18"/>
          <w:szCs w:val="18"/>
          <w:color w:val="1C1C1C"/>
        </w:rPr>
        <w:t>from</w:t>
      </w:r>
      <w:r>
        <w:rPr>
          <w:rFonts w:ascii="Arial" w:cs="Arial" w:eastAsia="Arial" w:hAnsi="Arial"/>
          <w:sz w:val="18"/>
          <w:szCs w:val="18"/>
          <w:color w:val="2C2C2C"/>
        </w:rPr>
        <w:t xml:space="preserve"> service</w:t>
      </w:r>
      <w:r>
        <w:rPr>
          <w:rFonts w:ascii="Arial" w:cs="Arial" w:eastAsia="Arial" w:hAnsi="Arial"/>
          <w:sz w:val="18"/>
          <w:szCs w:val="18"/>
          <w:color w:val="646464"/>
        </w:rPr>
        <w:t>”</w:t>
      </w:r>
      <w:r>
        <w:rPr>
          <w:rFonts w:ascii="Arial" w:cs="Arial" w:eastAsia="Arial" w:hAnsi="Arial"/>
          <w:sz w:val="18"/>
          <w:szCs w:val="18"/>
          <w:color w:val="2C2C2C"/>
        </w:rPr>
        <w:t xml:space="preserve"> (within the meaning of Section 409A) as of </w:t>
      </w:r>
      <w:r>
        <w:rPr>
          <w:rFonts w:ascii="Arial" w:cs="Arial" w:eastAsia="Arial" w:hAnsi="Arial"/>
          <w:sz w:val="18"/>
          <w:szCs w:val="18"/>
          <w:color w:val="1C1C1C"/>
        </w:rPr>
        <w:t>the Termination Date</w:t>
      </w:r>
      <w:r>
        <w:rPr>
          <w:rFonts w:ascii="Arial" w:cs="Arial" w:eastAsia="Arial" w:hAnsi="Arial"/>
          <w:sz w:val="18"/>
          <w:szCs w:val="18"/>
          <w:color w:val="2C2C2C"/>
        </w:rPr>
        <w:t xml:space="preserve"> and, </w:t>
      </w:r>
      <w:r>
        <w:rPr>
          <w:rFonts w:ascii="Arial" w:cs="Arial" w:eastAsia="Arial" w:hAnsi="Arial"/>
          <w:sz w:val="18"/>
          <w:szCs w:val="18"/>
          <w:color w:val="1C1C1C"/>
        </w:rPr>
        <w:t>notw</w:t>
      </w:r>
      <w:r>
        <w:rPr>
          <w:rFonts w:ascii="Arial" w:cs="Arial" w:eastAsia="Arial" w:hAnsi="Arial"/>
          <w:sz w:val="18"/>
          <w:szCs w:val="18"/>
          <w:color w:val="434343"/>
        </w:rPr>
        <w:t>ithstandi</w:t>
      </w:r>
      <w:r>
        <w:rPr>
          <w:rFonts w:ascii="Arial" w:cs="Arial" w:eastAsia="Arial" w:hAnsi="Arial"/>
          <w:sz w:val="18"/>
          <w:szCs w:val="18"/>
          <w:color w:val="1C1C1C"/>
        </w:rPr>
        <w:t>ng</w:t>
      </w:r>
      <w:r>
        <w:rPr>
          <w:rFonts w:ascii="Arial" w:cs="Arial" w:eastAsia="Arial" w:hAnsi="Arial"/>
          <w:sz w:val="18"/>
          <w:szCs w:val="18"/>
          <w:color w:val="2C2C2C"/>
        </w:rPr>
        <w:t xml:space="preserve"> anything </w:t>
      </w:r>
      <w:r>
        <w:rPr>
          <w:rFonts w:ascii="Arial" w:cs="Arial" w:eastAsia="Arial" w:hAnsi="Arial"/>
          <w:sz w:val="18"/>
          <w:szCs w:val="18"/>
          <w:color w:val="434343"/>
        </w:rPr>
        <w:t>in</w:t>
      </w:r>
      <w:r>
        <w:rPr>
          <w:rFonts w:ascii="Arial" w:cs="Arial" w:eastAsia="Arial" w:hAnsi="Arial"/>
          <w:sz w:val="18"/>
          <w:szCs w:val="18"/>
          <w:color w:val="2C2C2C"/>
        </w:rPr>
        <w:t xml:space="preserve"> </w:t>
      </w:r>
      <w:r>
        <w:rPr>
          <w:rFonts w:ascii="Arial" w:cs="Arial" w:eastAsia="Arial" w:hAnsi="Arial"/>
          <w:sz w:val="18"/>
          <w:szCs w:val="18"/>
          <w:color w:val="1C1C1C"/>
        </w:rPr>
        <w:t>the</w:t>
      </w:r>
      <w:r>
        <w:rPr>
          <w:rFonts w:ascii="Arial" w:cs="Arial" w:eastAsia="Arial" w:hAnsi="Arial"/>
          <w:sz w:val="18"/>
          <w:szCs w:val="18"/>
          <w:color w:val="2C2C2C"/>
        </w:rPr>
        <w:t xml:space="preserve"> Agreement </w:t>
      </w:r>
      <w:r>
        <w:rPr>
          <w:rFonts w:ascii="Arial" w:cs="Arial" w:eastAsia="Arial" w:hAnsi="Arial"/>
          <w:sz w:val="18"/>
          <w:szCs w:val="18"/>
          <w:color w:val="1C1C1C"/>
        </w:rPr>
        <w:t>to the</w:t>
      </w:r>
      <w:r>
        <w:rPr>
          <w:rFonts w:ascii="Arial" w:cs="Arial" w:eastAsia="Arial" w:hAnsi="Arial"/>
          <w:sz w:val="18"/>
          <w:szCs w:val="18"/>
          <w:color w:val="2C2C2C"/>
        </w:rPr>
        <w:t xml:space="preserve"> contrary, any distributions upon </w:t>
      </w:r>
      <w:r>
        <w:rPr>
          <w:rFonts w:ascii="Arial" w:cs="Arial" w:eastAsia="Arial" w:hAnsi="Arial"/>
          <w:sz w:val="18"/>
          <w:szCs w:val="18"/>
          <w:color w:val="1C1C1C"/>
        </w:rPr>
        <w:t>termination of</w:t>
      </w:r>
      <w:r>
        <w:rPr>
          <w:rFonts w:ascii="Arial" w:cs="Arial" w:eastAsia="Arial" w:hAnsi="Arial"/>
          <w:sz w:val="18"/>
          <w:szCs w:val="18"/>
          <w:color w:val="2C2C2C"/>
        </w:rPr>
        <w:t xml:space="preserve"> employment of nonqualified deferred compensation </w:t>
      </w:r>
      <w:r>
        <w:rPr>
          <w:rFonts w:ascii="Arial" w:cs="Arial" w:eastAsia="Arial" w:hAnsi="Arial"/>
          <w:sz w:val="18"/>
          <w:szCs w:val="18"/>
          <w:color w:val="1C1C1C"/>
        </w:rPr>
        <w:t>may</w:t>
      </w:r>
      <w:r>
        <w:rPr>
          <w:rFonts w:ascii="Arial" w:cs="Arial" w:eastAsia="Arial" w:hAnsi="Arial"/>
          <w:sz w:val="18"/>
          <w:szCs w:val="18"/>
          <w:color w:val="2C2C2C"/>
        </w:rPr>
        <w:t xml:space="preserve"> only be </w:t>
      </w:r>
      <w:r>
        <w:rPr>
          <w:rFonts w:ascii="Arial" w:cs="Arial" w:eastAsia="Arial" w:hAnsi="Arial"/>
          <w:sz w:val="18"/>
          <w:szCs w:val="18"/>
          <w:color w:val="1C1C1C"/>
        </w:rPr>
        <w:t>made upon</w:t>
      </w:r>
      <w:r>
        <w:rPr>
          <w:rFonts w:ascii="Arial" w:cs="Arial" w:eastAsia="Arial" w:hAnsi="Arial"/>
          <w:sz w:val="18"/>
          <w:szCs w:val="18"/>
          <w:color w:val="2C2C2C"/>
        </w:rPr>
        <w:t xml:space="preserve"> a </w:t>
      </w:r>
      <w:r>
        <w:rPr>
          <w:rFonts w:ascii="Arial" w:cs="Arial" w:eastAsia="Arial" w:hAnsi="Arial"/>
          <w:sz w:val="18"/>
          <w:szCs w:val="18"/>
          <w:color w:val="434343"/>
        </w:rPr>
        <w:t>“se</w:t>
      </w:r>
      <w:r>
        <w:rPr>
          <w:rFonts w:ascii="Arial" w:cs="Arial" w:eastAsia="Arial" w:hAnsi="Arial"/>
          <w:sz w:val="18"/>
          <w:szCs w:val="18"/>
          <w:color w:val="1C1C1C"/>
        </w:rPr>
        <w:t>paration</w:t>
      </w:r>
      <w:r>
        <w:rPr>
          <w:rFonts w:ascii="Arial" w:cs="Arial" w:eastAsia="Arial" w:hAnsi="Arial"/>
          <w:sz w:val="18"/>
          <w:szCs w:val="18"/>
          <w:color w:val="2C2C2C"/>
        </w:rPr>
        <w:t xml:space="preserve"> </w:t>
      </w:r>
      <w:r>
        <w:rPr>
          <w:rFonts w:ascii="Arial" w:cs="Arial" w:eastAsia="Arial" w:hAnsi="Arial"/>
          <w:sz w:val="18"/>
          <w:szCs w:val="18"/>
          <w:color w:val="1C1C1C"/>
        </w:rPr>
        <w:t xml:space="preserve">from </w:t>
      </w:r>
      <w:r>
        <w:rPr>
          <w:rFonts w:ascii="Arial" w:cs="Arial" w:eastAsia="Arial" w:hAnsi="Arial"/>
          <w:sz w:val="18"/>
          <w:szCs w:val="18"/>
          <w:color w:val="2C2C2C"/>
        </w:rPr>
        <w:t>service” (as</w:t>
      </w:r>
      <w:r>
        <w:rPr>
          <w:rFonts w:ascii="Arial" w:cs="Arial" w:eastAsia="Arial" w:hAnsi="Arial"/>
          <w:sz w:val="18"/>
          <w:szCs w:val="18"/>
          <w:color w:val="1C1C1C"/>
        </w:rPr>
        <w:t xml:space="preserve"> dete</w:t>
      </w:r>
      <w:r>
        <w:rPr>
          <w:rFonts w:ascii="Arial" w:cs="Arial" w:eastAsia="Arial" w:hAnsi="Arial"/>
          <w:sz w:val="18"/>
          <w:szCs w:val="18"/>
          <w:color w:val="434343"/>
        </w:rPr>
        <w:t>r</w:t>
      </w:r>
      <w:r>
        <w:rPr>
          <w:rFonts w:ascii="Arial" w:cs="Arial" w:eastAsia="Arial" w:hAnsi="Arial"/>
          <w:sz w:val="18"/>
          <w:szCs w:val="18"/>
          <w:color w:val="1C1C1C"/>
        </w:rPr>
        <w:t xml:space="preserve">mined under </w:t>
      </w:r>
      <w:r>
        <w:rPr>
          <w:rFonts w:ascii="Arial" w:cs="Arial" w:eastAsia="Arial" w:hAnsi="Arial"/>
          <w:sz w:val="18"/>
          <w:szCs w:val="18"/>
          <w:color w:val="2C2C2C"/>
        </w:rPr>
        <w:t>Section</w:t>
      </w:r>
      <w:r>
        <w:rPr>
          <w:rFonts w:ascii="Arial" w:cs="Arial" w:eastAsia="Arial" w:hAnsi="Arial"/>
          <w:sz w:val="18"/>
          <w:szCs w:val="18"/>
          <w:color w:val="1C1C1C"/>
        </w:rPr>
        <w:t xml:space="preserve"> </w:t>
      </w:r>
      <w:r>
        <w:rPr>
          <w:rFonts w:ascii="Arial" w:cs="Arial" w:eastAsia="Arial" w:hAnsi="Arial"/>
          <w:sz w:val="18"/>
          <w:szCs w:val="18"/>
          <w:color w:val="434343"/>
        </w:rPr>
        <w:t>409A)</w:t>
      </w:r>
      <w:r>
        <w:rPr>
          <w:rFonts w:ascii="Arial" w:cs="Arial" w:eastAsia="Arial" w:hAnsi="Arial"/>
          <w:sz w:val="18"/>
          <w:szCs w:val="18"/>
          <w:color w:val="1C1C1C"/>
        </w:rPr>
        <w:t xml:space="preserve"> </w:t>
      </w:r>
      <w:r>
        <w:rPr>
          <w:rFonts w:ascii="Arial" w:cs="Arial" w:eastAsia="Arial" w:hAnsi="Arial"/>
          <w:sz w:val="18"/>
          <w:szCs w:val="18"/>
          <w:color w:val="2C2C2C"/>
        </w:rPr>
        <w:t>and such</w:t>
      </w:r>
      <w:r>
        <w:rPr>
          <w:rFonts w:ascii="Arial" w:cs="Arial" w:eastAsia="Arial" w:hAnsi="Arial"/>
          <w:sz w:val="18"/>
          <w:szCs w:val="18"/>
          <w:color w:val="1C1C1C"/>
        </w:rPr>
        <w:t xml:space="preserve"> date </w:t>
      </w:r>
      <w:r>
        <w:rPr>
          <w:rFonts w:ascii="Arial" w:cs="Arial" w:eastAsia="Arial" w:hAnsi="Arial"/>
          <w:sz w:val="18"/>
          <w:szCs w:val="18"/>
          <w:color w:val="2C2C2C"/>
        </w:rPr>
        <w:t>shall be the Termination</w:t>
      </w:r>
      <w:r>
        <w:rPr>
          <w:rFonts w:ascii="Arial" w:cs="Arial" w:eastAsia="Arial" w:hAnsi="Arial"/>
          <w:sz w:val="18"/>
          <w:szCs w:val="18"/>
          <w:color w:val="1C1C1C"/>
        </w:rPr>
        <w:t xml:space="preserve"> Date for </w:t>
      </w:r>
      <w:r>
        <w:rPr>
          <w:rFonts w:ascii="Arial" w:cs="Arial" w:eastAsia="Arial" w:hAnsi="Arial"/>
          <w:sz w:val="18"/>
          <w:szCs w:val="18"/>
          <w:color w:val="2C2C2C"/>
        </w:rPr>
        <w:t>purposes of this</w:t>
      </w:r>
      <w:r>
        <w:rPr>
          <w:rFonts w:ascii="Arial" w:cs="Arial" w:eastAsia="Arial" w:hAnsi="Arial"/>
          <w:sz w:val="18"/>
          <w:szCs w:val="18"/>
          <w:color w:val="1C1C1C"/>
        </w:rPr>
        <w:t xml:space="preserve"> </w:t>
      </w:r>
      <w:r>
        <w:rPr>
          <w:rFonts w:ascii="Arial" w:cs="Arial" w:eastAsia="Arial" w:hAnsi="Arial"/>
          <w:sz w:val="18"/>
          <w:szCs w:val="18"/>
          <w:color w:val="2C2C2C"/>
        </w:rPr>
        <w:t xml:space="preserve">Agreement. </w:t>
      </w:r>
      <w:r>
        <w:rPr>
          <w:rFonts w:ascii="Arial" w:cs="Arial" w:eastAsia="Arial" w:hAnsi="Arial"/>
          <w:sz w:val="18"/>
          <w:szCs w:val="18"/>
          <w:color w:val="1C1C1C"/>
        </w:rPr>
        <w:t>Each</w:t>
      </w:r>
      <w:r>
        <w:rPr>
          <w:rFonts w:ascii="Arial" w:cs="Arial" w:eastAsia="Arial" w:hAnsi="Arial"/>
          <w:sz w:val="18"/>
          <w:szCs w:val="18"/>
          <w:color w:val="2C2C2C"/>
        </w:rPr>
        <w:t xml:space="preserve"> payment under this Agreement or otherwise shall be </w:t>
      </w:r>
      <w:r>
        <w:rPr>
          <w:rFonts w:ascii="Arial" w:cs="Arial" w:eastAsia="Arial" w:hAnsi="Arial"/>
          <w:sz w:val="18"/>
          <w:szCs w:val="18"/>
          <w:color w:val="1C1C1C"/>
        </w:rPr>
        <w:t>treated</w:t>
      </w:r>
      <w:r>
        <w:rPr>
          <w:rFonts w:ascii="Arial" w:cs="Arial" w:eastAsia="Arial" w:hAnsi="Arial"/>
          <w:sz w:val="18"/>
          <w:szCs w:val="18"/>
          <w:color w:val="2C2C2C"/>
        </w:rPr>
        <w:t xml:space="preserve"> as a separate payment for purposes of Section 409A. </w:t>
      </w:r>
      <w:r>
        <w:rPr>
          <w:rFonts w:ascii="Arial" w:cs="Arial" w:eastAsia="Arial" w:hAnsi="Arial"/>
          <w:sz w:val="18"/>
          <w:szCs w:val="18"/>
          <w:color w:val="1C1C1C"/>
        </w:rPr>
        <w:t>In no</w:t>
      </w:r>
      <w:r>
        <w:rPr>
          <w:rFonts w:ascii="Arial" w:cs="Arial" w:eastAsia="Arial" w:hAnsi="Arial"/>
          <w:sz w:val="18"/>
          <w:szCs w:val="18"/>
          <w:color w:val="2C2C2C"/>
        </w:rPr>
        <w:t xml:space="preserve"> event </w:t>
      </w:r>
      <w:r>
        <w:rPr>
          <w:rFonts w:ascii="Arial" w:cs="Arial" w:eastAsia="Arial" w:hAnsi="Arial"/>
          <w:sz w:val="18"/>
          <w:szCs w:val="18"/>
          <w:color w:val="1C1C1C"/>
        </w:rPr>
        <w:t>may</w:t>
      </w:r>
      <w:r>
        <w:rPr>
          <w:rFonts w:ascii="Arial" w:cs="Arial" w:eastAsia="Arial" w:hAnsi="Arial"/>
          <w:sz w:val="18"/>
          <w:szCs w:val="18"/>
          <w:color w:val="2C2C2C"/>
        </w:rPr>
        <w:t xml:space="preserve"> you, directly or </w:t>
      </w:r>
      <w:r>
        <w:rPr>
          <w:rFonts w:ascii="Arial" w:cs="Arial" w:eastAsia="Arial" w:hAnsi="Arial"/>
          <w:sz w:val="18"/>
          <w:szCs w:val="18"/>
          <w:color w:val="1C1C1C"/>
        </w:rPr>
        <w:t>indirectly</w:t>
      </w:r>
      <w:r>
        <w:rPr>
          <w:rFonts w:ascii="Arial" w:cs="Arial" w:eastAsia="Arial" w:hAnsi="Arial"/>
          <w:sz w:val="18"/>
          <w:szCs w:val="18"/>
          <w:color w:val="434343"/>
        </w:rPr>
        <w:t>,</w:t>
      </w:r>
      <w:r>
        <w:rPr>
          <w:rFonts w:ascii="Arial" w:cs="Arial" w:eastAsia="Arial" w:hAnsi="Arial"/>
          <w:sz w:val="18"/>
          <w:szCs w:val="18"/>
          <w:color w:val="2C2C2C"/>
        </w:rPr>
        <w:t xml:space="preserve"> </w:t>
      </w:r>
      <w:r>
        <w:rPr>
          <w:rFonts w:ascii="Arial" w:cs="Arial" w:eastAsia="Arial" w:hAnsi="Arial"/>
          <w:sz w:val="18"/>
          <w:szCs w:val="18"/>
          <w:color w:val="1C1C1C"/>
        </w:rPr>
        <w:t>designate the</w:t>
      </w:r>
      <w:r>
        <w:rPr>
          <w:rFonts w:ascii="Arial" w:cs="Arial" w:eastAsia="Arial" w:hAnsi="Arial"/>
          <w:sz w:val="18"/>
          <w:szCs w:val="18"/>
          <w:color w:val="2C2C2C"/>
        </w:rPr>
        <w:t xml:space="preserve"> calendar year of any </w:t>
      </w:r>
      <w:r>
        <w:rPr>
          <w:rFonts w:ascii="Arial" w:cs="Arial" w:eastAsia="Arial" w:hAnsi="Arial"/>
          <w:sz w:val="18"/>
          <w:szCs w:val="18"/>
          <w:color w:val="1C1C1C"/>
        </w:rPr>
        <w:t>payment to be</w:t>
      </w:r>
      <w:r>
        <w:rPr>
          <w:rFonts w:ascii="Arial" w:cs="Arial" w:eastAsia="Arial" w:hAnsi="Arial"/>
          <w:sz w:val="18"/>
          <w:szCs w:val="18"/>
          <w:color w:val="2C2C2C"/>
        </w:rPr>
        <w:t xml:space="preserve"> made under </w:t>
      </w:r>
      <w:r>
        <w:rPr>
          <w:rFonts w:ascii="Arial" w:cs="Arial" w:eastAsia="Arial" w:hAnsi="Arial"/>
          <w:sz w:val="18"/>
          <w:szCs w:val="18"/>
          <w:color w:val="1C1C1C"/>
        </w:rPr>
        <w:t>th</w:t>
      </w:r>
      <w:r>
        <w:rPr>
          <w:rFonts w:ascii="Arial" w:cs="Arial" w:eastAsia="Arial" w:hAnsi="Arial"/>
          <w:sz w:val="18"/>
          <w:szCs w:val="18"/>
          <w:color w:val="434343"/>
        </w:rPr>
        <w:t>is</w:t>
      </w:r>
      <w:r>
        <w:rPr>
          <w:rFonts w:ascii="Arial" w:cs="Arial" w:eastAsia="Arial" w:hAnsi="Arial"/>
          <w:sz w:val="18"/>
          <w:szCs w:val="18"/>
          <w:color w:val="2C2C2C"/>
        </w:rPr>
        <w:t xml:space="preserve"> Agreement which </w:t>
      </w:r>
      <w:r>
        <w:rPr>
          <w:rFonts w:ascii="Arial" w:cs="Arial" w:eastAsia="Arial" w:hAnsi="Arial"/>
          <w:sz w:val="18"/>
          <w:szCs w:val="18"/>
          <w:color w:val="141414"/>
        </w:rPr>
        <w:t>constitutes a</w:t>
      </w:r>
      <w:r>
        <w:rPr>
          <w:rFonts w:ascii="Arial" w:cs="Arial" w:eastAsia="Arial" w:hAnsi="Arial"/>
          <w:sz w:val="18"/>
          <w:szCs w:val="18"/>
          <w:color w:val="2C2C2C"/>
        </w:rPr>
        <w:t xml:space="preserve"> </w:t>
      </w:r>
      <w:r>
        <w:rPr>
          <w:rFonts w:ascii="Arial" w:cs="Arial" w:eastAsia="Arial" w:hAnsi="Arial"/>
          <w:sz w:val="18"/>
          <w:szCs w:val="18"/>
          <w:color w:val="292929"/>
        </w:rPr>
        <w:t>“nonqualified</w:t>
      </w:r>
      <w:r>
        <w:rPr>
          <w:rFonts w:ascii="Arial" w:cs="Arial" w:eastAsia="Arial" w:hAnsi="Arial"/>
          <w:sz w:val="18"/>
          <w:szCs w:val="18"/>
          <w:color w:val="2C2C2C"/>
        </w:rPr>
        <w:t xml:space="preserve"> </w:t>
      </w:r>
      <w:r>
        <w:rPr>
          <w:rFonts w:ascii="Arial" w:cs="Arial" w:eastAsia="Arial" w:hAnsi="Arial"/>
          <w:sz w:val="18"/>
          <w:szCs w:val="18"/>
          <w:color w:val="141414"/>
        </w:rPr>
        <w:t>deferral of compensation</w:t>
      </w:r>
      <w:r>
        <w:rPr>
          <w:rFonts w:ascii="Arial" w:cs="Arial" w:eastAsia="Arial" w:hAnsi="Arial"/>
          <w:sz w:val="18"/>
          <w:szCs w:val="18"/>
          <w:color w:val="393939"/>
        </w:rPr>
        <w:t>”</w:t>
      </w:r>
      <w:r>
        <w:rPr>
          <w:rFonts w:ascii="Arial" w:cs="Arial" w:eastAsia="Arial" w:hAnsi="Arial"/>
          <w:sz w:val="18"/>
          <w:szCs w:val="18"/>
          <w:color w:val="2C2C2C"/>
        </w:rPr>
        <w:t xml:space="preserve"> </w:t>
      </w:r>
      <w:r>
        <w:rPr>
          <w:rFonts w:ascii="Arial" w:cs="Arial" w:eastAsia="Arial" w:hAnsi="Arial"/>
          <w:sz w:val="18"/>
          <w:szCs w:val="18"/>
          <w:color w:val="141414"/>
        </w:rPr>
        <w:t>(within the meaning of Section 409A) and to the</w:t>
      </w:r>
      <w:r>
        <w:rPr>
          <w:rFonts w:ascii="Arial" w:cs="Arial" w:eastAsia="Arial" w:hAnsi="Arial"/>
          <w:sz w:val="18"/>
          <w:szCs w:val="18"/>
          <w:color w:val="2C2C2C"/>
        </w:rPr>
        <w:t xml:space="preserve"> </w:t>
      </w:r>
      <w:r>
        <w:rPr>
          <w:rFonts w:ascii="Arial" w:cs="Arial" w:eastAsia="Arial" w:hAnsi="Arial"/>
          <w:sz w:val="18"/>
          <w:szCs w:val="18"/>
          <w:color w:val="141414"/>
        </w:rPr>
        <w:t>extent an amount is payable within a time period</w:t>
      </w:r>
      <w:r>
        <w:rPr>
          <w:rFonts w:ascii="Arial" w:cs="Arial" w:eastAsia="Arial" w:hAnsi="Arial"/>
          <w:sz w:val="18"/>
          <w:szCs w:val="18"/>
          <w:color w:val="393939"/>
        </w:rPr>
        <w:t>,</w:t>
      </w:r>
      <w:r>
        <w:rPr>
          <w:rFonts w:ascii="Arial" w:cs="Arial" w:eastAsia="Arial" w:hAnsi="Arial"/>
          <w:sz w:val="18"/>
          <w:szCs w:val="18"/>
          <w:color w:val="141414"/>
        </w:rPr>
        <w:t xml:space="preserve"> the time during which such amount is paid shall be in the discretion of the Company. To the extent that any reimbursements are taxable to you, any such reimbursement payment due to you shall be paid to you on or before the last day of the calendar year following the taxable year in which the related expense was incurred</w:t>
      </w:r>
      <w:r>
        <w:rPr>
          <w:rFonts w:ascii="Arial" w:cs="Arial" w:eastAsia="Arial" w:hAnsi="Arial"/>
          <w:sz w:val="18"/>
          <w:szCs w:val="18"/>
          <w:color w:val="393939"/>
        </w:rPr>
        <w:t>.</w:t>
      </w:r>
      <w:r>
        <w:rPr>
          <w:rFonts w:ascii="Arial" w:cs="Arial" w:eastAsia="Arial" w:hAnsi="Arial"/>
          <w:sz w:val="18"/>
          <w:szCs w:val="18"/>
          <w:color w:val="141414"/>
        </w:rPr>
        <w:t xml:space="preserve"> The reimbursements are not subject to liquidation or exchange for another benefit and the amount of such reimbursements that you receive in one taxable year shall not affect the amount of such reimbursements that you receive in any other taxable year. </w:t>
      </w:r>
      <w:r>
        <w:rPr>
          <w:rFonts w:ascii="Arial" w:cs="Arial" w:eastAsia="Arial" w:hAnsi="Arial"/>
          <w:sz w:val="18"/>
          <w:szCs w:val="18"/>
          <w:color w:val="000000"/>
        </w:rPr>
        <w:t>Notwithstanding any provision to the contrary in this Agreement, if you are deemed at the time of</w:t>
      </w:r>
      <w:r>
        <w:rPr>
          <w:rFonts w:ascii="Arial" w:cs="Arial" w:eastAsia="Arial" w:hAnsi="Arial"/>
          <w:sz w:val="18"/>
          <w:szCs w:val="18"/>
          <w:color w:val="141414"/>
        </w:rPr>
        <w:t xml:space="preserve"> </w:t>
      </w:r>
      <w:r>
        <w:rPr>
          <w:rFonts w:ascii="Arial" w:cs="Arial" w:eastAsia="Arial" w:hAnsi="Arial"/>
          <w:sz w:val="18"/>
          <w:szCs w:val="18"/>
          <w:color w:val="000000"/>
        </w:rPr>
        <w:t>your separation from service to be a “specified employee” for purposes of Section 409A(a)(2)(B)(i) of the Code, to the extent delayed commencement of any portion of the termination benefits to which you are entitled under this Agreement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3" w:name="page64"/>
    <w:bookmarkEnd w:id="63"/>
    <w:p>
      <w:pPr>
        <w:jc w:val="both"/>
        <w:spacing w:after="0" w:line="244" w:lineRule="auto"/>
        <w:rPr>
          <w:sz w:val="20"/>
          <w:szCs w:val="20"/>
          <w:color w:val="auto"/>
        </w:rPr>
      </w:pPr>
      <w:r>
        <w:rPr>
          <w:rFonts w:ascii="Arial" w:cs="Arial" w:eastAsia="Arial" w:hAnsi="Arial"/>
          <w:sz w:val="18"/>
          <w:szCs w:val="18"/>
          <w:color w:val="auto"/>
        </w:rPr>
        <w:t>required in order to avoid a prohibited distribution under Section 409A(a)(2)(B)(i) of the Code, such portion of your termination benefits shall not be provided to you prior to the earlier of (A) the expiration of the six-month period measured from the date of your “separation from service” with the Company or (B) the date of your death; upon the earlier of such dates, all payments deferred pursuant to this sentence shall be paid in a lump sum to you, and any remaining payments due under the Agreement shall be paid as otherwise provided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Assignment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41414"/>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w:t>
      </w:r>
      <w:r>
        <w:rPr>
          <w:rFonts w:ascii="Arial" w:cs="Arial" w:eastAsia="Arial" w:hAnsi="Arial"/>
          <w:sz w:val="18"/>
          <w:szCs w:val="18"/>
          <w:color w:val="393939"/>
        </w:rPr>
        <w:t>.</w:t>
      </w:r>
      <w:r>
        <w:rPr>
          <w:rFonts w:ascii="Arial" w:cs="Arial" w:eastAsia="Arial" w:hAnsi="Arial"/>
          <w:sz w:val="18"/>
          <w:szCs w:val="18"/>
          <w:color w:val="141414"/>
        </w:rPr>
        <w:t xml:space="preserve"> You may not assign your rights or obligations to another </w:t>
      </w:r>
      <w:r>
        <w:rPr>
          <w:rFonts w:ascii="Arial" w:cs="Arial" w:eastAsia="Arial" w:hAnsi="Arial"/>
          <w:sz w:val="18"/>
          <w:szCs w:val="18"/>
          <w:color w:val="292929"/>
        </w:rPr>
        <w:t>entity</w:t>
      </w:r>
      <w:r>
        <w:rPr>
          <w:rFonts w:ascii="Arial" w:cs="Arial" w:eastAsia="Arial" w:hAnsi="Arial"/>
          <w:sz w:val="18"/>
          <w:szCs w:val="18"/>
          <w:color w:val="141414"/>
        </w:rPr>
        <w:t xml:space="preserve"> or person.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Indemnification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41414"/>
        </w:rPr>
        <w:t>You shall be entitled to indemnification to the maximum e</w:t>
      </w:r>
      <w:r>
        <w:rPr>
          <w:rFonts w:ascii="Arial" w:cs="Arial" w:eastAsia="Arial" w:hAnsi="Arial"/>
          <w:sz w:val="18"/>
          <w:szCs w:val="18"/>
          <w:color w:val="393939"/>
        </w:rPr>
        <w:t>x</w:t>
      </w:r>
      <w:r>
        <w:rPr>
          <w:rFonts w:ascii="Arial" w:cs="Arial" w:eastAsia="Arial" w:hAnsi="Arial"/>
          <w:sz w:val="18"/>
          <w:szCs w:val="18"/>
          <w:color w:val="141414"/>
        </w:rPr>
        <w:t>tent permitted by applicable law and the Company’s Articles of Incorporation or Bylaws, as applicable, subject to any applicable obligations therein (including, without limitation, any repayment obligations pursuant to Section 7.03 of the Bylaws) . At all times during your employment</w:t>
      </w:r>
      <w:r>
        <w:rPr>
          <w:rFonts w:ascii="Arial" w:cs="Arial" w:eastAsia="Arial" w:hAnsi="Arial"/>
          <w:sz w:val="18"/>
          <w:szCs w:val="18"/>
          <w:color w:val="393939"/>
        </w:rPr>
        <w:t>,</w:t>
      </w:r>
      <w:r>
        <w:rPr>
          <w:rFonts w:ascii="Arial" w:cs="Arial" w:eastAsia="Arial" w:hAnsi="Arial"/>
          <w:sz w:val="18"/>
          <w:szCs w:val="18"/>
          <w:color w:val="141414"/>
        </w:rPr>
        <w:t xml:space="preserve"> the Company shall maintain in effect a directors and officers liability insurance policy with you as a covered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Whistleblower Protections and Trade Secrets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41414"/>
        </w:rPr>
        <w:t>Notwithstanding any provision of this Agreement to the contrary, nothing prohibits you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 you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a trade secret that is made in a complaint or other document filed in a lawsuit or other proceeding, if such filing is made under seal; and (iii) if you file a lawsuit for retaliation by an employer for reporting a suspected violation of law, you may disclose the trade secret to your attorney and use the trade secret information in the court proceeding, if you file any document containing the trade secret under seal; and do not disclose the trade secret, except pursuant to court order.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Policy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acknowledge and agree that you will take all action necessary or appropriate to comply with the Company’s applicable clawback or compensation recovery policy (including, without limitation, entering into any further agreements, amendments or policies necessary or appropriate to implement and/or enforce such policy).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Miscellaneous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72727"/>
        </w:rPr>
        <w:t xml:space="preserve">This Agreement </w:t>
      </w:r>
      <w:r>
        <w:rPr>
          <w:rFonts w:ascii="Arial" w:cs="Arial" w:eastAsia="Arial" w:hAnsi="Arial"/>
          <w:sz w:val="18"/>
          <w:szCs w:val="18"/>
          <w:color w:val="151515"/>
        </w:rPr>
        <w:t>fo</w:t>
      </w:r>
      <w:r>
        <w:rPr>
          <w:rFonts w:ascii="Arial" w:cs="Arial" w:eastAsia="Arial" w:hAnsi="Arial"/>
          <w:sz w:val="18"/>
          <w:szCs w:val="18"/>
          <w:color w:val="3C3C3C"/>
        </w:rPr>
        <w:t>rms</w:t>
      </w:r>
      <w:r>
        <w:rPr>
          <w:rFonts w:ascii="Arial" w:cs="Arial" w:eastAsia="Arial" w:hAnsi="Arial"/>
          <w:sz w:val="18"/>
          <w:szCs w:val="18"/>
          <w:color w:val="272727"/>
        </w:rPr>
        <w:t xml:space="preserve"> </w:t>
      </w:r>
      <w:r>
        <w:rPr>
          <w:rFonts w:ascii="Arial" w:cs="Arial" w:eastAsia="Arial" w:hAnsi="Arial"/>
          <w:sz w:val="18"/>
          <w:szCs w:val="18"/>
          <w:color w:val="151515"/>
        </w:rPr>
        <w:t>the</w:t>
      </w:r>
      <w:r>
        <w:rPr>
          <w:rFonts w:ascii="Arial" w:cs="Arial" w:eastAsia="Arial" w:hAnsi="Arial"/>
          <w:sz w:val="18"/>
          <w:szCs w:val="18"/>
          <w:color w:val="272727"/>
        </w:rPr>
        <w:t xml:space="preserve"> complete and exclusive statement of your employment agreement with </w:t>
      </w:r>
      <w:r>
        <w:rPr>
          <w:rFonts w:ascii="Arial" w:cs="Arial" w:eastAsia="Arial" w:hAnsi="Arial"/>
          <w:sz w:val="18"/>
          <w:szCs w:val="18"/>
          <w:color w:val="151515"/>
        </w:rPr>
        <w:t>the Company. It</w:t>
      </w:r>
      <w:r>
        <w:rPr>
          <w:rFonts w:ascii="Arial" w:cs="Arial" w:eastAsia="Arial" w:hAnsi="Arial"/>
          <w:sz w:val="18"/>
          <w:szCs w:val="18"/>
          <w:color w:val="272727"/>
        </w:rPr>
        <w:t xml:space="preserve"> </w:t>
      </w:r>
      <w:r>
        <w:rPr>
          <w:rFonts w:ascii="Arial" w:cs="Arial" w:eastAsia="Arial" w:hAnsi="Arial"/>
          <w:sz w:val="18"/>
          <w:szCs w:val="18"/>
          <w:color w:val="151515"/>
        </w:rPr>
        <w:t xml:space="preserve">supersedes any other agreements or promises made to you by anyone, whether oral or written, including that certain Offer Letter entered into by and between you and the Company, dated as of September 20, 2021. </w:t>
      </w:r>
      <w:r>
        <w:rPr>
          <w:rFonts w:ascii="Arial" w:cs="Arial" w:eastAsia="Arial" w:hAnsi="Arial"/>
          <w:sz w:val="18"/>
          <w:szCs w:val="18"/>
          <w:color w:val="272727"/>
        </w:rPr>
        <w:t>Changes</w:t>
      </w:r>
      <w:r>
        <w:rPr>
          <w:rFonts w:ascii="Arial" w:cs="Arial" w:eastAsia="Arial" w:hAnsi="Arial"/>
          <w:sz w:val="18"/>
          <w:szCs w:val="18"/>
          <w:color w:val="151515"/>
        </w:rPr>
        <w:t xml:space="preserve"> in </w:t>
      </w:r>
      <w:r>
        <w:rPr>
          <w:rFonts w:ascii="Arial" w:cs="Arial" w:eastAsia="Arial" w:hAnsi="Arial"/>
          <w:sz w:val="18"/>
          <w:szCs w:val="18"/>
          <w:color w:val="3C3C3C"/>
        </w:rPr>
        <w:t>your</w:t>
      </w:r>
      <w:r>
        <w:rPr>
          <w:rFonts w:ascii="Arial" w:cs="Arial" w:eastAsia="Arial" w:hAnsi="Arial"/>
          <w:sz w:val="18"/>
          <w:szCs w:val="18"/>
          <w:color w:val="151515"/>
        </w:rPr>
        <w:t xml:space="preserve"> </w:t>
      </w:r>
      <w:r>
        <w:rPr>
          <w:rFonts w:ascii="Arial" w:cs="Arial" w:eastAsia="Arial" w:hAnsi="Arial"/>
          <w:sz w:val="18"/>
          <w:szCs w:val="18"/>
          <w:color w:val="272727"/>
        </w:rPr>
        <w:t>employment</w:t>
      </w:r>
      <w:r>
        <w:rPr>
          <w:rFonts w:ascii="Arial" w:cs="Arial" w:eastAsia="Arial" w:hAnsi="Arial"/>
          <w:sz w:val="18"/>
          <w:szCs w:val="18"/>
          <w:color w:val="151515"/>
        </w:rPr>
        <w:t xml:space="preserve"> </w:t>
      </w:r>
      <w:r>
        <w:rPr>
          <w:rFonts w:ascii="Arial" w:cs="Arial" w:eastAsia="Arial" w:hAnsi="Arial"/>
          <w:sz w:val="18"/>
          <w:szCs w:val="18"/>
          <w:color w:val="272727"/>
        </w:rPr>
        <w:t xml:space="preserve">terms, other </w:t>
      </w:r>
      <w:r>
        <w:rPr>
          <w:rFonts w:ascii="Arial" w:cs="Arial" w:eastAsia="Arial" w:hAnsi="Arial"/>
          <w:sz w:val="18"/>
          <w:szCs w:val="18"/>
          <w:color w:val="151515"/>
        </w:rPr>
        <w:t>than those</w:t>
      </w:r>
      <w:r>
        <w:rPr>
          <w:rFonts w:ascii="Arial" w:cs="Arial" w:eastAsia="Arial" w:hAnsi="Arial"/>
          <w:sz w:val="18"/>
          <w:szCs w:val="18"/>
          <w:color w:val="272727"/>
        </w:rPr>
        <w:t xml:space="preserve"> changes </w:t>
      </w:r>
      <w:r>
        <w:rPr>
          <w:rFonts w:ascii="Arial" w:cs="Arial" w:eastAsia="Arial" w:hAnsi="Arial"/>
          <w:sz w:val="18"/>
          <w:szCs w:val="18"/>
          <w:color w:val="151515"/>
        </w:rPr>
        <w:t>expressly reserved to</w:t>
      </w:r>
      <w:r>
        <w:rPr>
          <w:rFonts w:ascii="Arial" w:cs="Arial" w:eastAsia="Arial" w:hAnsi="Arial"/>
          <w:sz w:val="18"/>
          <w:szCs w:val="18"/>
          <w:color w:val="272727"/>
        </w:rPr>
        <w:t xml:space="preserve"> the Company’ </w:t>
      </w:r>
      <w:r>
        <w:rPr>
          <w:rFonts w:ascii="Arial" w:cs="Arial" w:eastAsia="Arial" w:hAnsi="Arial"/>
          <w:sz w:val="18"/>
          <w:szCs w:val="18"/>
          <w:color w:val="151515"/>
        </w:rPr>
        <w:t>discretion in</w:t>
      </w:r>
      <w:r>
        <w:rPr>
          <w:rFonts w:ascii="Arial" w:cs="Arial" w:eastAsia="Arial" w:hAnsi="Arial"/>
          <w:sz w:val="18"/>
          <w:szCs w:val="18"/>
          <w:color w:val="272727"/>
        </w:rPr>
        <w:t xml:space="preserve"> this Agreement, require a written </w:t>
      </w:r>
      <w:r>
        <w:rPr>
          <w:rFonts w:ascii="Arial" w:cs="Arial" w:eastAsia="Arial" w:hAnsi="Arial"/>
          <w:sz w:val="18"/>
          <w:szCs w:val="18"/>
          <w:color w:val="151515"/>
        </w:rPr>
        <w:t xml:space="preserve">modification </w:t>
      </w:r>
      <w:r>
        <w:rPr>
          <w:rFonts w:ascii="Arial" w:cs="Arial" w:eastAsia="Arial" w:hAnsi="Arial"/>
          <w:sz w:val="18"/>
          <w:szCs w:val="18"/>
          <w:color w:val="272727"/>
        </w:rPr>
        <w:t>approved by</w:t>
      </w:r>
      <w:r>
        <w:rPr>
          <w:rFonts w:ascii="Arial" w:cs="Arial" w:eastAsia="Arial" w:hAnsi="Arial"/>
          <w:sz w:val="18"/>
          <w:szCs w:val="18"/>
          <w:color w:val="151515"/>
        </w:rPr>
        <w:t xml:space="preserve"> the Company</w:t>
      </w:r>
      <w:r>
        <w:rPr>
          <w:rFonts w:ascii="Arial" w:cs="Arial" w:eastAsia="Arial" w:hAnsi="Arial"/>
          <w:sz w:val="18"/>
          <w:szCs w:val="18"/>
          <w:color w:val="3C3C3C"/>
        </w:rPr>
        <w:t>.</w:t>
      </w:r>
      <w:r>
        <w:rPr>
          <w:rFonts w:ascii="Arial" w:cs="Arial" w:eastAsia="Arial" w:hAnsi="Arial"/>
          <w:sz w:val="18"/>
          <w:szCs w:val="18"/>
          <w:color w:val="151515"/>
        </w:rPr>
        <w:t xml:space="preserve"> </w:t>
      </w:r>
      <w:r>
        <w:rPr>
          <w:rFonts w:ascii="Arial" w:cs="Arial" w:eastAsia="Arial" w:hAnsi="Arial"/>
          <w:sz w:val="18"/>
          <w:szCs w:val="18"/>
          <w:color w:val="272727"/>
        </w:rPr>
        <w:t>This Agreement will bind</w:t>
      </w:r>
      <w:r>
        <w:rPr>
          <w:rFonts w:ascii="Arial" w:cs="Arial" w:eastAsia="Arial" w:hAnsi="Arial"/>
          <w:sz w:val="18"/>
          <w:szCs w:val="18"/>
          <w:color w:val="151515"/>
        </w:rPr>
        <w:t xml:space="preserve"> the he</w:t>
      </w:r>
      <w:r>
        <w:rPr>
          <w:rFonts w:ascii="Arial" w:cs="Arial" w:eastAsia="Arial" w:hAnsi="Arial"/>
          <w:sz w:val="18"/>
          <w:szCs w:val="18"/>
          <w:color w:val="3C3C3C"/>
        </w:rPr>
        <w:t>irs,</w:t>
      </w:r>
      <w:r>
        <w:rPr>
          <w:rFonts w:ascii="Arial" w:cs="Arial" w:eastAsia="Arial" w:hAnsi="Arial"/>
          <w:sz w:val="18"/>
          <w:szCs w:val="18"/>
          <w:color w:val="151515"/>
        </w:rPr>
        <w:t xml:space="preserve"> </w:t>
      </w:r>
      <w:r>
        <w:rPr>
          <w:rFonts w:ascii="Arial" w:cs="Arial" w:eastAsia="Arial" w:hAnsi="Arial"/>
          <w:sz w:val="18"/>
          <w:szCs w:val="18"/>
          <w:color w:val="272727"/>
        </w:rPr>
        <w:t>personal representatives</w:t>
      </w:r>
      <w:r>
        <w:rPr>
          <w:rFonts w:ascii="Arial" w:cs="Arial" w:eastAsia="Arial" w:hAnsi="Arial"/>
          <w:sz w:val="18"/>
          <w:szCs w:val="18"/>
          <w:color w:val="525252"/>
        </w:rPr>
        <w:t>,</w:t>
      </w:r>
      <w:r>
        <w:rPr>
          <w:rFonts w:ascii="Arial" w:cs="Arial" w:eastAsia="Arial" w:hAnsi="Arial"/>
          <w:sz w:val="18"/>
          <w:szCs w:val="18"/>
          <w:color w:val="151515"/>
        </w:rPr>
        <w:t xml:space="preserve"> </w:t>
      </w:r>
      <w:r>
        <w:rPr>
          <w:rFonts w:ascii="Arial" w:cs="Arial" w:eastAsia="Arial" w:hAnsi="Arial"/>
          <w:sz w:val="18"/>
          <w:szCs w:val="18"/>
          <w:color w:val="272727"/>
        </w:rPr>
        <w:t>successors and</w:t>
      </w:r>
      <w:r>
        <w:rPr>
          <w:rFonts w:ascii="Arial" w:cs="Arial" w:eastAsia="Arial" w:hAnsi="Arial"/>
          <w:sz w:val="18"/>
          <w:szCs w:val="18"/>
          <w:color w:val="151515"/>
        </w:rPr>
        <w:t xml:space="preserve"> </w:t>
      </w:r>
      <w:r>
        <w:rPr>
          <w:rFonts w:ascii="Arial" w:cs="Arial" w:eastAsia="Arial" w:hAnsi="Arial"/>
          <w:sz w:val="18"/>
          <w:szCs w:val="18"/>
          <w:color w:val="272727"/>
        </w:rPr>
        <w:t xml:space="preserve">assigns of both you and </w:t>
      </w:r>
      <w:r>
        <w:rPr>
          <w:rFonts w:ascii="Arial" w:cs="Arial" w:eastAsia="Arial" w:hAnsi="Arial"/>
          <w:sz w:val="18"/>
          <w:szCs w:val="18"/>
          <w:color w:val="151515"/>
        </w:rPr>
        <w:t>the Company</w:t>
      </w:r>
      <w:r>
        <w:rPr>
          <w:rFonts w:ascii="Arial" w:cs="Arial" w:eastAsia="Arial" w:hAnsi="Arial"/>
          <w:sz w:val="18"/>
          <w:szCs w:val="18"/>
          <w:color w:val="3C3C3C"/>
        </w:rPr>
        <w:t>,</w:t>
      </w:r>
      <w:r>
        <w:rPr>
          <w:rFonts w:ascii="Arial" w:cs="Arial" w:eastAsia="Arial" w:hAnsi="Arial"/>
          <w:sz w:val="18"/>
          <w:szCs w:val="18"/>
          <w:color w:val="272727"/>
        </w:rPr>
        <w:t xml:space="preserve"> and inure to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588645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23" w:right="999" w:bottom="1440" w:gutter="0" w:footer="0" w:header="0"/>
        </w:sectPr>
      </w:pPr>
    </w:p>
    <w:bookmarkStart w:id="64" w:name="page65"/>
    <w:bookmarkEnd w:id="64"/>
    <w:p>
      <w:pPr>
        <w:jc w:val="both"/>
        <w:spacing w:after="0" w:line="237" w:lineRule="auto"/>
        <w:rPr>
          <w:sz w:val="20"/>
          <w:szCs w:val="20"/>
          <w:color w:val="auto"/>
        </w:rPr>
      </w:pPr>
      <w:r>
        <w:rPr>
          <w:rFonts w:ascii="Arial" w:cs="Arial" w:eastAsia="Arial" w:hAnsi="Arial"/>
          <w:sz w:val="18"/>
          <w:szCs w:val="18"/>
          <w:color w:val="272727"/>
        </w:rPr>
        <w:t xml:space="preserve">both you and the Company, </w:t>
      </w:r>
      <w:r>
        <w:rPr>
          <w:rFonts w:ascii="Arial" w:cs="Arial" w:eastAsia="Arial" w:hAnsi="Arial"/>
          <w:sz w:val="18"/>
          <w:szCs w:val="18"/>
          <w:color w:val="151515"/>
        </w:rPr>
        <w:t>the</w:t>
      </w:r>
      <w:r>
        <w:rPr>
          <w:rFonts w:ascii="Arial" w:cs="Arial" w:eastAsia="Arial" w:hAnsi="Arial"/>
          <w:sz w:val="18"/>
          <w:szCs w:val="18"/>
          <w:color w:val="3C3C3C"/>
        </w:rPr>
        <w:t>ir</w:t>
      </w:r>
      <w:r>
        <w:rPr>
          <w:rFonts w:ascii="Arial" w:cs="Arial" w:eastAsia="Arial" w:hAnsi="Arial"/>
          <w:sz w:val="18"/>
          <w:szCs w:val="18"/>
          <w:color w:val="272727"/>
        </w:rPr>
        <w:t xml:space="preserve"> heirs</w:t>
      </w:r>
      <w:r>
        <w:rPr>
          <w:rFonts w:ascii="Arial" w:cs="Arial" w:eastAsia="Arial" w:hAnsi="Arial"/>
          <w:sz w:val="18"/>
          <w:szCs w:val="18"/>
          <w:color w:val="525252"/>
        </w:rPr>
        <w:t>,</w:t>
      </w:r>
      <w:r>
        <w:rPr>
          <w:rFonts w:ascii="Arial" w:cs="Arial" w:eastAsia="Arial" w:hAnsi="Arial"/>
          <w:sz w:val="18"/>
          <w:szCs w:val="18"/>
          <w:color w:val="272727"/>
        </w:rPr>
        <w:t xml:space="preserve"> successors and assigns. </w:t>
      </w:r>
      <w:r>
        <w:rPr>
          <w:rFonts w:ascii="Arial" w:cs="Arial" w:eastAsia="Arial" w:hAnsi="Arial"/>
          <w:sz w:val="18"/>
          <w:szCs w:val="18"/>
          <w:color w:val="151515"/>
        </w:rPr>
        <w:t>If</w:t>
      </w:r>
      <w:r>
        <w:rPr>
          <w:rFonts w:ascii="Arial" w:cs="Arial" w:eastAsia="Arial" w:hAnsi="Arial"/>
          <w:sz w:val="18"/>
          <w:szCs w:val="18"/>
          <w:color w:val="272727"/>
        </w:rPr>
        <w:t xml:space="preserve"> any provision of </w:t>
      </w:r>
      <w:r>
        <w:rPr>
          <w:rFonts w:ascii="Arial" w:cs="Arial" w:eastAsia="Arial" w:hAnsi="Arial"/>
          <w:sz w:val="18"/>
          <w:szCs w:val="18"/>
          <w:color w:val="151515"/>
        </w:rPr>
        <w:t>this</w:t>
      </w:r>
      <w:r>
        <w:rPr>
          <w:rFonts w:ascii="Arial" w:cs="Arial" w:eastAsia="Arial" w:hAnsi="Arial"/>
          <w:sz w:val="18"/>
          <w:szCs w:val="18"/>
          <w:color w:val="272727"/>
        </w:rPr>
        <w:t xml:space="preserve"> Agreement is determined to be invalid or </w:t>
      </w:r>
      <w:r>
        <w:rPr>
          <w:rFonts w:ascii="Arial" w:cs="Arial" w:eastAsia="Arial" w:hAnsi="Arial"/>
          <w:sz w:val="18"/>
          <w:szCs w:val="18"/>
          <w:color w:val="3C3C3C"/>
        </w:rPr>
        <w:t>unenforceable, in</w:t>
      </w:r>
      <w:r>
        <w:rPr>
          <w:rFonts w:ascii="Arial" w:cs="Arial" w:eastAsia="Arial" w:hAnsi="Arial"/>
          <w:sz w:val="18"/>
          <w:szCs w:val="18"/>
          <w:color w:val="272727"/>
        </w:rPr>
        <w:t xml:space="preserve"> whole or </w:t>
      </w:r>
      <w:r>
        <w:rPr>
          <w:rFonts w:ascii="Arial" w:cs="Arial" w:eastAsia="Arial" w:hAnsi="Arial"/>
          <w:sz w:val="18"/>
          <w:szCs w:val="18"/>
          <w:color w:val="151515"/>
        </w:rPr>
        <w:t>in</w:t>
      </w:r>
      <w:r>
        <w:rPr>
          <w:rFonts w:ascii="Arial" w:cs="Arial" w:eastAsia="Arial" w:hAnsi="Arial"/>
          <w:sz w:val="18"/>
          <w:szCs w:val="18"/>
          <w:color w:val="272727"/>
        </w:rPr>
        <w:t xml:space="preserve"> part, this determination shall not affect any other provision of this Agreement and the provision </w:t>
      </w:r>
      <w:r>
        <w:rPr>
          <w:rFonts w:ascii="Arial" w:cs="Arial" w:eastAsia="Arial" w:hAnsi="Arial"/>
          <w:sz w:val="18"/>
          <w:szCs w:val="18"/>
          <w:color w:val="3C3C3C"/>
        </w:rPr>
        <w:t>in</w:t>
      </w:r>
      <w:r>
        <w:rPr>
          <w:rFonts w:ascii="Arial" w:cs="Arial" w:eastAsia="Arial" w:hAnsi="Arial"/>
          <w:sz w:val="18"/>
          <w:szCs w:val="18"/>
          <w:color w:val="272727"/>
        </w:rPr>
        <w:t xml:space="preserve"> question shall be modified so as to be </w:t>
      </w:r>
      <w:r>
        <w:rPr>
          <w:rFonts w:ascii="Arial" w:cs="Arial" w:eastAsia="Arial" w:hAnsi="Arial"/>
          <w:sz w:val="18"/>
          <w:szCs w:val="18"/>
          <w:color w:val="3C3C3C"/>
        </w:rPr>
        <w:t>rendered</w:t>
      </w:r>
      <w:r>
        <w:rPr>
          <w:rFonts w:ascii="Arial" w:cs="Arial" w:eastAsia="Arial" w:hAnsi="Arial"/>
          <w:sz w:val="18"/>
          <w:szCs w:val="18"/>
          <w:color w:val="272727"/>
        </w:rPr>
        <w:t xml:space="preserve"> enforceable </w:t>
      </w:r>
      <w:r>
        <w:rPr>
          <w:rFonts w:ascii="Arial" w:cs="Arial" w:eastAsia="Arial" w:hAnsi="Arial"/>
          <w:sz w:val="18"/>
          <w:szCs w:val="18"/>
          <w:color w:val="151515"/>
        </w:rPr>
        <w:t>in</w:t>
      </w:r>
      <w:r>
        <w:rPr>
          <w:rFonts w:ascii="Arial" w:cs="Arial" w:eastAsia="Arial" w:hAnsi="Arial"/>
          <w:sz w:val="18"/>
          <w:szCs w:val="18"/>
          <w:color w:val="272727"/>
        </w:rPr>
        <w:t xml:space="preserve"> a manner consistent with the intent of the parties </w:t>
      </w:r>
      <w:r>
        <w:rPr>
          <w:rFonts w:ascii="Arial" w:cs="Arial" w:eastAsia="Arial" w:hAnsi="Arial"/>
          <w:sz w:val="18"/>
          <w:szCs w:val="18"/>
          <w:color w:val="151515"/>
        </w:rPr>
        <w:t xml:space="preserve">insofar </w:t>
      </w:r>
      <w:r>
        <w:rPr>
          <w:rFonts w:ascii="Arial" w:cs="Arial" w:eastAsia="Arial" w:hAnsi="Arial"/>
          <w:sz w:val="18"/>
          <w:szCs w:val="18"/>
          <w:color w:val="272727"/>
        </w:rPr>
        <w:t>as possible under applicable</w:t>
      </w:r>
      <w:r>
        <w:rPr>
          <w:rFonts w:ascii="Arial" w:cs="Arial" w:eastAsia="Arial" w:hAnsi="Arial"/>
          <w:sz w:val="18"/>
          <w:szCs w:val="18"/>
          <w:color w:val="151515"/>
        </w:rPr>
        <w:t xml:space="preserve"> la</w:t>
      </w:r>
      <w:r>
        <w:rPr>
          <w:rFonts w:ascii="Arial" w:cs="Arial" w:eastAsia="Arial" w:hAnsi="Arial"/>
          <w:sz w:val="18"/>
          <w:szCs w:val="18"/>
          <w:color w:val="3C3C3C"/>
        </w:rPr>
        <w:t>w.</w:t>
      </w:r>
      <w:r>
        <w:rPr>
          <w:rFonts w:ascii="Arial" w:cs="Arial" w:eastAsia="Arial" w:hAnsi="Arial"/>
          <w:sz w:val="18"/>
          <w:szCs w:val="18"/>
          <w:color w:val="151515"/>
        </w:rPr>
        <w:t xml:space="preserve"> </w:t>
      </w:r>
      <w:r>
        <w:rPr>
          <w:rFonts w:ascii="Arial" w:cs="Arial" w:eastAsia="Arial" w:hAnsi="Arial"/>
          <w:sz w:val="18"/>
          <w:szCs w:val="18"/>
          <w:color w:val="272727"/>
        </w:rPr>
        <w:t>This Agreement shall be construed and enforced in accordance with the</w:t>
      </w:r>
      <w:r>
        <w:rPr>
          <w:rFonts w:ascii="Arial" w:cs="Arial" w:eastAsia="Arial" w:hAnsi="Arial"/>
          <w:sz w:val="18"/>
          <w:szCs w:val="18"/>
          <w:color w:val="151515"/>
        </w:rPr>
        <w:t xml:space="preserve"> laws </w:t>
      </w:r>
      <w:r>
        <w:rPr>
          <w:rFonts w:ascii="Arial" w:cs="Arial" w:eastAsia="Arial" w:hAnsi="Arial"/>
          <w:sz w:val="18"/>
          <w:szCs w:val="18"/>
          <w:color w:val="272727"/>
        </w:rPr>
        <w:t>of</w:t>
      </w:r>
      <w:r>
        <w:rPr>
          <w:rFonts w:ascii="Arial" w:cs="Arial" w:eastAsia="Arial" w:hAnsi="Arial"/>
          <w:sz w:val="18"/>
          <w:szCs w:val="18"/>
          <w:color w:val="151515"/>
        </w:rPr>
        <w:t xml:space="preserve"> the </w:t>
      </w:r>
      <w:r>
        <w:rPr>
          <w:rFonts w:ascii="Arial" w:cs="Arial" w:eastAsia="Arial" w:hAnsi="Arial"/>
          <w:sz w:val="18"/>
          <w:szCs w:val="18"/>
          <w:color w:val="272727"/>
        </w:rPr>
        <w:t xml:space="preserve">State of Delaware without </w:t>
      </w:r>
      <w:r>
        <w:rPr>
          <w:rFonts w:ascii="Arial" w:cs="Arial" w:eastAsia="Arial" w:hAnsi="Arial"/>
          <w:sz w:val="18"/>
          <w:szCs w:val="18"/>
          <w:color w:val="151515"/>
        </w:rPr>
        <w:t>regard</w:t>
      </w:r>
      <w:r>
        <w:rPr>
          <w:rFonts w:ascii="Arial" w:cs="Arial" w:eastAsia="Arial" w:hAnsi="Arial"/>
          <w:sz w:val="18"/>
          <w:szCs w:val="18"/>
          <w:color w:val="272727"/>
        </w:rPr>
        <w:t xml:space="preserve"> to </w:t>
      </w:r>
      <w:r>
        <w:rPr>
          <w:rFonts w:ascii="Arial" w:cs="Arial" w:eastAsia="Arial" w:hAnsi="Arial"/>
          <w:sz w:val="18"/>
          <w:szCs w:val="18"/>
          <w:color w:val="3C3C3C"/>
        </w:rPr>
        <w:t>confl</w:t>
      </w:r>
      <w:r>
        <w:rPr>
          <w:rFonts w:ascii="Arial" w:cs="Arial" w:eastAsia="Arial" w:hAnsi="Arial"/>
          <w:sz w:val="18"/>
          <w:szCs w:val="18"/>
          <w:color w:val="151515"/>
        </w:rPr>
        <w:t>i</w:t>
      </w:r>
      <w:r>
        <w:rPr>
          <w:rFonts w:ascii="Arial" w:cs="Arial" w:eastAsia="Arial" w:hAnsi="Arial"/>
          <w:sz w:val="18"/>
          <w:szCs w:val="18"/>
          <w:color w:val="3C3C3C"/>
        </w:rPr>
        <w:t>cts</w:t>
      </w:r>
      <w:r>
        <w:rPr>
          <w:rFonts w:ascii="Arial" w:cs="Arial" w:eastAsia="Arial" w:hAnsi="Arial"/>
          <w:sz w:val="18"/>
          <w:szCs w:val="18"/>
          <w:color w:val="272727"/>
        </w:rPr>
        <w:t xml:space="preserve"> of </w:t>
      </w:r>
      <w:r>
        <w:rPr>
          <w:rFonts w:ascii="Arial" w:cs="Arial" w:eastAsia="Arial" w:hAnsi="Arial"/>
          <w:sz w:val="18"/>
          <w:szCs w:val="18"/>
          <w:color w:val="151515"/>
        </w:rPr>
        <w:t>law</w:t>
      </w:r>
      <w:r>
        <w:rPr>
          <w:rFonts w:ascii="Arial" w:cs="Arial" w:eastAsia="Arial" w:hAnsi="Arial"/>
          <w:sz w:val="18"/>
          <w:szCs w:val="18"/>
          <w:color w:val="272727"/>
        </w:rPr>
        <w:t xml:space="preserve"> principles. Any dispute or controversy arising out of, relating to, or concerning any interpretation, performance or breach of this Agreement will be settled by arbitration to be held in Boston, Massachusetts, administered by the American Arbitration Association under its employment arbitration rules and mediation procedures and judgment upon the award rendered by the arbitrator(s) may be entered in any court having jurisdiction thereof. Each party will pay their own costs and expenses; provided, however, the arbitrator may award the costs and attorneys’ fees of the other party to the extent permitted by applicable law. Any ambiguity in this Agreement shall </w:t>
      </w:r>
      <w:r>
        <w:rPr>
          <w:rFonts w:ascii="Arial" w:cs="Arial" w:eastAsia="Arial" w:hAnsi="Arial"/>
          <w:sz w:val="18"/>
          <w:szCs w:val="18"/>
          <w:color w:val="151515"/>
        </w:rPr>
        <w:t>not</w:t>
      </w:r>
      <w:r>
        <w:rPr>
          <w:rFonts w:ascii="Arial" w:cs="Arial" w:eastAsia="Arial" w:hAnsi="Arial"/>
          <w:sz w:val="18"/>
          <w:szCs w:val="18"/>
          <w:color w:val="272727"/>
        </w:rPr>
        <w:t xml:space="preserve"> be construed against either party as the drafter</w:t>
      </w:r>
      <w:r>
        <w:rPr>
          <w:rFonts w:ascii="Arial" w:cs="Arial" w:eastAsia="Arial" w:hAnsi="Arial"/>
          <w:sz w:val="18"/>
          <w:szCs w:val="18"/>
          <w:color w:val="525252"/>
        </w:rPr>
        <w:t>.</w:t>
      </w:r>
      <w:r>
        <w:rPr>
          <w:rFonts w:ascii="Arial" w:cs="Arial" w:eastAsia="Arial" w:hAnsi="Arial"/>
          <w:sz w:val="18"/>
          <w:szCs w:val="18"/>
          <w:color w:val="272727"/>
        </w:rPr>
        <w:t xml:space="preserve"> Any waiver of a breach of </w:t>
      </w:r>
      <w:r>
        <w:rPr>
          <w:rFonts w:ascii="Arial" w:cs="Arial" w:eastAsia="Arial" w:hAnsi="Arial"/>
          <w:sz w:val="18"/>
          <w:szCs w:val="18"/>
          <w:color w:val="151515"/>
        </w:rPr>
        <w:t>this</w:t>
      </w:r>
      <w:r>
        <w:rPr>
          <w:rFonts w:ascii="Arial" w:cs="Arial" w:eastAsia="Arial" w:hAnsi="Arial"/>
          <w:sz w:val="18"/>
          <w:szCs w:val="18"/>
          <w:color w:val="272727"/>
        </w:rPr>
        <w:t xml:space="preserve"> Agreement, or </w:t>
      </w:r>
      <w:r>
        <w:rPr>
          <w:rFonts w:ascii="Arial" w:cs="Arial" w:eastAsia="Arial" w:hAnsi="Arial"/>
          <w:sz w:val="18"/>
          <w:szCs w:val="18"/>
          <w:color w:val="3C3C3C"/>
        </w:rPr>
        <w:t>rights</w:t>
      </w:r>
      <w:r>
        <w:rPr>
          <w:rFonts w:ascii="Arial" w:cs="Arial" w:eastAsia="Arial" w:hAnsi="Arial"/>
          <w:sz w:val="18"/>
          <w:szCs w:val="18"/>
          <w:color w:val="272727"/>
        </w:rPr>
        <w:t xml:space="preserve"> </w:t>
      </w:r>
      <w:r>
        <w:rPr>
          <w:rFonts w:ascii="Arial" w:cs="Arial" w:eastAsia="Arial" w:hAnsi="Arial"/>
          <w:sz w:val="18"/>
          <w:szCs w:val="18"/>
          <w:color w:val="151515"/>
        </w:rPr>
        <w:t>hereunder,</w:t>
      </w:r>
      <w:r>
        <w:rPr>
          <w:rFonts w:ascii="Arial" w:cs="Arial" w:eastAsia="Arial" w:hAnsi="Arial"/>
          <w:sz w:val="18"/>
          <w:szCs w:val="18"/>
          <w:color w:val="272727"/>
        </w:rPr>
        <w:t xml:space="preserve"> shall be </w:t>
      </w:r>
      <w:r>
        <w:rPr>
          <w:rFonts w:ascii="Arial" w:cs="Arial" w:eastAsia="Arial" w:hAnsi="Arial"/>
          <w:sz w:val="18"/>
          <w:szCs w:val="18"/>
          <w:color w:val="525252"/>
        </w:rPr>
        <w:t>i</w:t>
      </w:r>
      <w:r>
        <w:rPr>
          <w:rFonts w:ascii="Arial" w:cs="Arial" w:eastAsia="Arial" w:hAnsi="Arial"/>
          <w:sz w:val="18"/>
          <w:szCs w:val="18"/>
          <w:color w:val="272727"/>
        </w:rPr>
        <w:t xml:space="preserve">n writing and shall </w:t>
      </w:r>
      <w:r>
        <w:rPr>
          <w:rFonts w:ascii="Arial" w:cs="Arial" w:eastAsia="Arial" w:hAnsi="Arial"/>
          <w:sz w:val="18"/>
          <w:szCs w:val="18"/>
          <w:color w:val="151515"/>
        </w:rPr>
        <w:t>not</w:t>
      </w:r>
      <w:r>
        <w:rPr>
          <w:rFonts w:ascii="Arial" w:cs="Arial" w:eastAsia="Arial" w:hAnsi="Arial"/>
          <w:sz w:val="18"/>
          <w:szCs w:val="18"/>
          <w:color w:val="272727"/>
        </w:rPr>
        <w:t xml:space="preserve"> be </w:t>
      </w:r>
      <w:r>
        <w:rPr>
          <w:rFonts w:ascii="Arial" w:cs="Arial" w:eastAsia="Arial" w:hAnsi="Arial"/>
          <w:sz w:val="18"/>
          <w:szCs w:val="18"/>
          <w:color w:val="151515"/>
        </w:rPr>
        <w:t>deemed</w:t>
      </w:r>
      <w:r>
        <w:rPr>
          <w:rFonts w:ascii="Arial" w:cs="Arial" w:eastAsia="Arial" w:hAnsi="Arial"/>
          <w:sz w:val="18"/>
          <w:szCs w:val="18"/>
          <w:color w:val="272727"/>
        </w:rPr>
        <w:t xml:space="preserve"> to be a waiver of any successive breach or rights hereunder</w:t>
      </w:r>
      <w:r>
        <w:rPr>
          <w:rFonts w:ascii="Arial" w:cs="Arial" w:eastAsia="Arial" w:hAnsi="Arial"/>
          <w:sz w:val="18"/>
          <w:szCs w:val="18"/>
          <w:color w:val="525252"/>
        </w:rPr>
        <w:t>.</w:t>
      </w:r>
      <w:r>
        <w:rPr>
          <w:rFonts w:ascii="Arial" w:cs="Arial" w:eastAsia="Arial" w:hAnsi="Arial"/>
          <w:sz w:val="18"/>
          <w:szCs w:val="18"/>
          <w:color w:val="272727"/>
        </w:rPr>
        <w:t xml:space="preserve"> This Agreement </w:t>
      </w:r>
      <w:r>
        <w:rPr>
          <w:rFonts w:ascii="Arial" w:cs="Arial" w:eastAsia="Arial" w:hAnsi="Arial"/>
          <w:sz w:val="18"/>
          <w:szCs w:val="18"/>
          <w:color w:val="151515"/>
        </w:rPr>
        <w:t>may</w:t>
      </w:r>
      <w:r>
        <w:rPr>
          <w:rFonts w:ascii="Arial" w:cs="Arial" w:eastAsia="Arial" w:hAnsi="Arial"/>
          <w:sz w:val="18"/>
          <w:szCs w:val="18"/>
          <w:color w:val="272727"/>
        </w:rPr>
        <w:t xml:space="preserve"> be executed in counterparts which shall be deemed to be </w:t>
      </w:r>
      <w:r>
        <w:rPr>
          <w:rFonts w:ascii="Arial" w:cs="Arial" w:eastAsia="Arial" w:hAnsi="Arial"/>
          <w:sz w:val="18"/>
          <w:szCs w:val="18"/>
          <w:color w:val="151515"/>
        </w:rPr>
        <w:t>part</w:t>
      </w:r>
      <w:r>
        <w:rPr>
          <w:rFonts w:ascii="Arial" w:cs="Arial" w:eastAsia="Arial" w:hAnsi="Arial"/>
          <w:sz w:val="18"/>
          <w:szCs w:val="18"/>
          <w:color w:val="272727"/>
        </w:rPr>
        <w:t xml:space="preserve"> of one original</w:t>
      </w:r>
      <w:r>
        <w:rPr>
          <w:rFonts w:ascii="Arial" w:cs="Arial" w:eastAsia="Arial" w:hAnsi="Arial"/>
          <w:sz w:val="18"/>
          <w:szCs w:val="18"/>
          <w:color w:val="525252"/>
        </w:rPr>
        <w:t>,</w:t>
      </w:r>
      <w:r>
        <w:rPr>
          <w:rFonts w:ascii="Arial" w:cs="Arial" w:eastAsia="Arial" w:hAnsi="Arial"/>
          <w:sz w:val="18"/>
          <w:szCs w:val="18"/>
          <w:color w:val="272727"/>
        </w:rPr>
        <w:t xml:space="preserve"> and facsimile or pdf signatures </w:t>
      </w:r>
      <w:r>
        <w:rPr>
          <w:rFonts w:ascii="Arial" w:cs="Arial" w:eastAsia="Arial" w:hAnsi="Arial"/>
          <w:sz w:val="18"/>
          <w:szCs w:val="18"/>
          <w:color w:val="151515"/>
        </w:rPr>
        <w:t>shall be</w:t>
      </w:r>
      <w:r>
        <w:rPr>
          <w:rFonts w:ascii="Arial" w:cs="Arial" w:eastAsia="Arial" w:hAnsi="Arial"/>
          <w:sz w:val="18"/>
          <w:szCs w:val="18"/>
          <w:color w:val="272727"/>
        </w:rPr>
        <w:t xml:space="preserve"> equivalent </w:t>
      </w:r>
      <w:r>
        <w:rPr>
          <w:rFonts w:ascii="Arial" w:cs="Arial" w:eastAsia="Arial" w:hAnsi="Arial"/>
          <w:sz w:val="18"/>
          <w:szCs w:val="18"/>
          <w:color w:val="151515"/>
        </w:rPr>
        <w:t>to original</w:t>
      </w:r>
      <w:r>
        <w:rPr>
          <w:rFonts w:ascii="Arial" w:cs="Arial" w:eastAsia="Arial" w:hAnsi="Arial"/>
          <w:sz w:val="18"/>
          <w:szCs w:val="18"/>
          <w:color w:val="272727"/>
        </w:rPr>
        <w:t xml:space="preserve"> signatures.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am very pleased to offer you continued employment in this position at the Company on and following the IPO under the terms described above. I would be happy to discuss any questions that you may have about the terms of the offer. It will be a pleasure to continue to work with you and create the future of the Company on and following the IPO.</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r>
              <w:rPr>
                <w:rFonts w:ascii="Arial" w:cs="Arial" w:eastAsia="Arial" w:hAnsi="Arial"/>
                <w:sz w:val="18"/>
                <w:szCs w:val="18"/>
                <w:color w:val="auto"/>
              </w:rPr>
              <w:t>Sincerely</w:t>
            </w:r>
            <w:r>
              <w:rPr>
                <w:rFonts w:ascii="Arial" w:cs="Arial" w:eastAsia="Arial" w:hAnsi="Arial"/>
                <w:sz w:val="18"/>
                <w:szCs w:val="18"/>
                <w:color w:val="525252"/>
              </w:rPr>
              <w:t>,</w:t>
            </w:r>
          </w:p>
        </w:tc>
        <w:tc>
          <w:tcPr>
            <w:tcW w:w="2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Ericka L. Ayles</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r>
              <w:rPr>
                <w:rFonts w:ascii="Arial" w:cs="Arial" w:eastAsia="Arial" w:hAnsi="Arial"/>
                <w:sz w:val="18"/>
                <w:szCs w:val="18"/>
                <w:b w:val="1"/>
                <w:bCs w:val="1"/>
                <w:color w:val="auto"/>
              </w:rPr>
              <w:t>Ericka L. Ayles</w:t>
            </w:r>
          </w:p>
        </w:tc>
        <w:tc>
          <w:tcPr>
            <w:tcW w:w="2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4220" w:type="dxa"/>
            <w:vAlign w:val="bottom"/>
          </w:tcPr>
          <w:p>
            <w:pPr>
              <w:spacing w:after="0"/>
              <w:rPr>
                <w:sz w:val="20"/>
                <w:szCs w:val="20"/>
                <w:color w:val="auto"/>
              </w:rPr>
            </w:pPr>
            <w:r>
              <w:rPr>
                <w:rFonts w:ascii="Arial" w:cs="Arial" w:eastAsia="Arial" w:hAnsi="Arial"/>
                <w:sz w:val="18"/>
                <w:szCs w:val="18"/>
                <w:b w:val="1"/>
                <w:bCs w:val="1"/>
                <w:color w:val="auto"/>
              </w:rPr>
              <w:t>Chief Financial Officer and Treasurer</w:t>
            </w:r>
          </w:p>
        </w:tc>
        <w:tc>
          <w:tcPr>
            <w:tcW w:w="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220" w:type="dxa"/>
            <w:vAlign w:val="bottom"/>
          </w:tcPr>
          <w:p>
            <w:pPr>
              <w:spacing w:after="0"/>
              <w:rPr>
                <w:sz w:val="20"/>
                <w:szCs w:val="20"/>
                <w:color w:val="auto"/>
              </w:rPr>
            </w:pPr>
            <w:r>
              <w:rPr>
                <w:rFonts w:ascii="Arial" w:cs="Arial" w:eastAsia="Arial" w:hAnsi="Arial"/>
                <w:sz w:val="18"/>
                <w:szCs w:val="18"/>
                <w:b w:val="1"/>
                <w:bCs w:val="1"/>
                <w:color w:val="auto"/>
              </w:rPr>
              <w:t>Understood and Accepted:</w:t>
            </w:r>
          </w:p>
        </w:tc>
        <w:tc>
          <w:tcPr>
            <w:tcW w:w="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282B33"/>
              </w:rPr>
              <w:t>/s/ Thomas N. Trkla</w:t>
            </w: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rPr>
              <w:t>4/23/2026</w:t>
            </w:r>
          </w:p>
        </w:tc>
        <w:tc>
          <w:tcPr>
            <w:tcW w:w="0" w:type="dxa"/>
            <w:vAlign w:val="bottom"/>
          </w:tcPr>
          <w:p>
            <w:pPr>
              <w:spacing w:after="0"/>
              <w:rPr>
                <w:sz w:val="1"/>
                <w:szCs w:val="1"/>
                <w:color w:val="auto"/>
              </w:rPr>
            </w:pPr>
          </w:p>
        </w:tc>
      </w:tr>
      <w:tr>
        <w:trPr>
          <w:trHeight w:val="20"/>
        </w:trPr>
        <w:tc>
          <w:tcPr>
            <w:tcW w:w="42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20" w:type="dxa"/>
            <w:vAlign w:val="bottom"/>
            <w:tcBorders>
              <w:bottom w:val="single" w:sz="8" w:color="auto"/>
            </w:tcBorders>
            <w:vMerge w:val="continue"/>
          </w:tcPr>
          <w:p>
            <w:pPr>
              <w:spacing w:after="0"/>
              <w:rPr>
                <w:sz w:val="17"/>
                <w:szCs w:val="17"/>
                <w:color w:val="auto"/>
              </w:rPr>
            </w:pPr>
          </w:p>
        </w:tc>
        <w:tc>
          <w:tcPr>
            <w:tcW w:w="57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282B33"/>
              </w:rPr>
              <w:t>Date</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r>
              <w:rPr>
                <w:rFonts w:ascii="Arial" w:cs="Arial" w:eastAsia="Arial" w:hAnsi="Arial"/>
                <w:sz w:val="18"/>
                <w:szCs w:val="18"/>
                <w:b w:val="1"/>
                <w:bCs w:val="1"/>
                <w:color w:val="282B33"/>
              </w:rPr>
              <w:t>Thomas N. Trkla</w:t>
            </w:r>
          </w:p>
        </w:tc>
        <w:tc>
          <w:tcPr>
            <w:tcW w:w="5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21"/>
        </w:trPr>
        <w:tc>
          <w:tcPr>
            <w:tcW w:w="4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3" w:right="999" w:bottom="1440" w:gutter="0" w:footer="0" w:header="0"/>
        </w:sectPr>
      </w:pPr>
    </w:p>
    <w:bookmarkStart w:id="65" w:name="page66"/>
    <w:bookmarkEnd w:id="65"/>
    <w:p>
      <w:pPr>
        <w:ind w:left="8820"/>
        <w:spacing w:after="0"/>
        <w:rPr>
          <w:sz w:val="20"/>
          <w:szCs w:val="20"/>
          <w:color w:val="auto"/>
        </w:rPr>
      </w:pPr>
      <w:r>
        <w:rPr>
          <w:rFonts w:ascii="Arial" w:cs="Arial" w:eastAsia="Arial" w:hAnsi="Arial"/>
          <w:sz w:val="17"/>
          <w:szCs w:val="17"/>
          <w:b w:val="1"/>
          <w:bCs w:val="1"/>
          <w:color w:val="auto"/>
        </w:rPr>
        <w:t>Exhibit 10.12</w:t>
      </w:r>
    </w:p>
    <w:p>
      <w:pPr>
        <w:spacing w:after="0" w:line="209" w:lineRule="exact"/>
        <w:rPr>
          <w:sz w:val="20"/>
          <w:szCs w:val="20"/>
          <w:color w:val="auto"/>
        </w:rPr>
      </w:pPr>
    </w:p>
    <w:p>
      <w:pPr>
        <w:ind w:left="6720"/>
        <w:spacing w:after="0"/>
        <w:rPr>
          <w:sz w:val="20"/>
          <w:szCs w:val="20"/>
          <w:color w:val="auto"/>
        </w:rPr>
      </w:pPr>
      <w:r>
        <w:rPr>
          <w:rFonts w:ascii="Arial" w:cs="Arial" w:eastAsia="Arial" w:hAnsi="Arial"/>
          <w:sz w:val="18"/>
          <w:szCs w:val="18"/>
          <w:u w:val="single" w:color="auto"/>
          <w:color w:val="auto"/>
        </w:rPr>
        <w:t>PRIVILEGED AND CONFIDENTIAL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23,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Ericka L. Ayles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2301 Eagle Parkway</w:t>
      </w:r>
    </w:p>
    <w:p>
      <w:pPr>
        <w:spacing w:after="0"/>
        <w:rPr>
          <w:sz w:val="20"/>
          <w:szCs w:val="20"/>
          <w:color w:val="auto"/>
        </w:rPr>
      </w:pPr>
      <w:r>
        <w:rPr>
          <w:rFonts w:ascii="Arial" w:cs="Arial" w:eastAsia="Arial" w:hAnsi="Arial"/>
          <w:sz w:val="18"/>
          <w:szCs w:val="18"/>
          <w:color w:val="auto"/>
        </w:rPr>
        <w:t>Fort Worth, TX 76177</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Amended and Restated Employment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Ericka</w:t>
      </w:r>
      <w:r>
        <w:rPr>
          <w:rFonts w:ascii="Arial" w:cs="Arial" w:eastAsia="Arial" w:hAnsi="Arial"/>
          <w:sz w:val="18"/>
          <w:szCs w:val="18"/>
          <w:color w:val="515152"/>
        </w:rPr>
        <w: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amended and restated letter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sets forth the terms of your continued employment at Yesway, Inc. (“</w:t>
      </w:r>
      <w:r>
        <w:rPr>
          <w:rFonts w:ascii="Arial" w:cs="Arial" w:eastAsia="Arial" w:hAnsi="Arial"/>
          <w:sz w:val="18"/>
          <w:szCs w:val="18"/>
          <w:b w:val="1"/>
          <w:bCs w:val="1"/>
          <w:color w:val="auto"/>
        </w:rPr>
        <w:t>Yesway</w:t>
      </w:r>
      <w:r>
        <w:rPr>
          <w:rFonts w:ascii="Arial" w:cs="Arial" w:eastAsia="Arial" w:hAnsi="Arial"/>
          <w:sz w:val="18"/>
          <w:szCs w:val="18"/>
          <w:color w:val="auto"/>
        </w:rPr>
        <w:t>,” together with any subsidiaries and affiliates as may employ you from time to time, the “</w:t>
      </w:r>
      <w:r>
        <w:rPr>
          <w:rFonts w:ascii="Arial" w:cs="Arial" w:eastAsia="Arial" w:hAnsi="Arial"/>
          <w:sz w:val="18"/>
          <w:szCs w:val="18"/>
          <w:b w:val="1"/>
          <w:bCs w:val="1"/>
          <w:color w:val="auto"/>
        </w:rPr>
        <w:t>Company</w:t>
      </w:r>
      <w:r>
        <w:rPr>
          <w:rFonts w:ascii="Arial" w:cs="Arial" w:eastAsia="Arial" w:hAnsi="Arial"/>
          <w:sz w:val="18"/>
          <w:szCs w:val="18"/>
          <w:color w:val="auto"/>
        </w:rPr>
        <w:t>”). This Agreement will be effective on the closing date of the initial public offering of Yesway (the “</w:t>
      </w:r>
      <w:r>
        <w:rPr>
          <w:rFonts w:ascii="Arial" w:cs="Arial" w:eastAsia="Arial" w:hAnsi="Arial"/>
          <w:sz w:val="18"/>
          <w:szCs w:val="18"/>
          <w:b w:val="1"/>
          <w:bCs w:val="1"/>
          <w:color w:val="auto"/>
        </w:rPr>
        <w:t>IPO</w:t>
      </w:r>
      <w:r>
        <w:rPr>
          <w:rFonts w:ascii="Arial" w:cs="Arial" w:eastAsia="Arial" w:hAnsi="Arial"/>
          <w:sz w:val="18"/>
          <w:szCs w:val="18"/>
          <w:color w:val="auto"/>
        </w:rPr>
        <w:t>”) or such other date mutually agreed upon by the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Duties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333334"/>
        </w:rPr>
        <w:t xml:space="preserve">You </w:t>
      </w:r>
      <w:r>
        <w:rPr>
          <w:rFonts w:ascii="Arial" w:cs="Arial" w:eastAsia="Arial" w:hAnsi="Arial"/>
          <w:sz w:val="18"/>
          <w:szCs w:val="18"/>
          <w:color w:val="000000"/>
        </w:rPr>
        <w:t>will be employed in the</w:t>
      </w:r>
      <w:r>
        <w:rPr>
          <w:rFonts w:ascii="Arial" w:cs="Arial" w:eastAsia="Arial" w:hAnsi="Arial"/>
          <w:sz w:val="18"/>
          <w:szCs w:val="18"/>
          <w:color w:val="333334"/>
        </w:rPr>
        <w:t xml:space="preserve"> role </w:t>
      </w:r>
      <w:r>
        <w:rPr>
          <w:rFonts w:ascii="Arial" w:cs="Arial" w:eastAsia="Arial" w:hAnsi="Arial"/>
          <w:sz w:val="18"/>
          <w:szCs w:val="18"/>
          <w:color w:val="000000"/>
        </w:rPr>
        <w:t>of Chief Financial Officer and Treasurer of Yesway and</w:t>
      </w:r>
      <w:r>
        <w:rPr>
          <w:rFonts w:ascii="Arial" w:cs="Arial" w:eastAsia="Arial" w:hAnsi="Arial"/>
          <w:sz w:val="18"/>
          <w:szCs w:val="18"/>
          <w:color w:val="333334"/>
        </w:rPr>
        <w:t xml:space="preserve"> you </w:t>
      </w:r>
      <w:r>
        <w:rPr>
          <w:rFonts w:ascii="Arial" w:cs="Arial" w:eastAsia="Arial" w:hAnsi="Arial"/>
          <w:sz w:val="18"/>
          <w:szCs w:val="18"/>
          <w:color w:val="000000"/>
        </w:rPr>
        <w:t>shall</w:t>
      </w:r>
      <w:r>
        <w:rPr>
          <w:rFonts w:ascii="Arial" w:cs="Arial" w:eastAsia="Arial" w:hAnsi="Arial"/>
          <w:sz w:val="18"/>
          <w:szCs w:val="18"/>
          <w:color w:val="333334"/>
        </w:rPr>
        <w:t xml:space="preserve"> perform </w:t>
      </w:r>
      <w:r>
        <w:rPr>
          <w:rFonts w:ascii="Arial" w:cs="Arial" w:eastAsia="Arial" w:hAnsi="Arial"/>
          <w:sz w:val="18"/>
          <w:szCs w:val="18"/>
          <w:color w:val="000000"/>
        </w:rPr>
        <w:t>the duties of</w:t>
      </w:r>
      <w:r>
        <w:rPr>
          <w:rFonts w:ascii="Arial" w:cs="Arial" w:eastAsia="Arial" w:hAnsi="Arial"/>
          <w:sz w:val="18"/>
          <w:szCs w:val="18"/>
          <w:color w:val="333334"/>
        </w:rPr>
        <w:t xml:space="preserve"> this </w:t>
      </w:r>
      <w:r>
        <w:rPr>
          <w:rFonts w:ascii="Arial" w:cs="Arial" w:eastAsia="Arial" w:hAnsi="Arial"/>
          <w:sz w:val="18"/>
          <w:szCs w:val="18"/>
          <w:color w:val="000000"/>
        </w:rPr>
        <w:t>ro</w:t>
      </w:r>
      <w:r>
        <w:rPr>
          <w:rFonts w:ascii="Arial" w:cs="Arial" w:eastAsia="Arial" w:hAnsi="Arial"/>
          <w:sz w:val="18"/>
          <w:szCs w:val="18"/>
          <w:color w:val="515152"/>
        </w:rPr>
        <w:t>l</w:t>
      </w:r>
      <w:r>
        <w:rPr>
          <w:rFonts w:ascii="Arial" w:cs="Arial" w:eastAsia="Arial" w:hAnsi="Arial"/>
          <w:sz w:val="18"/>
          <w:szCs w:val="18"/>
          <w:color w:val="333334"/>
        </w:rPr>
        <w:t>e</w:t>
      </w:r>
      <w:r>
        <w:rPr>
          <w:rFonts w:ascii="Arial" w:cs="Arial" w:eastAsia="Arial" w:hAnsi="Arial"/>
          <w:sz w:val="18"/>
          <w:szCs w:val="18"/>
          <w:color w:val="000000"/>
        </w:rPr>
        <w:t xml:space="preserve"> as are </w:t>
      </w:r>
      <w:r>
        <w:rPr>
          <w:rFonts w:ascii="Arial" w:cs="Arial" w:eastAsia="Arial" w:hAnsi="Arial"/>
          <w:sz w:val="18"/>
          <w:szCs w:val="18"/>
          <w:color w:val="333334"/>
        </w:rPr>
        <w:t>customary</w:t>
      </w:r>
      <w:r>
        <w:rPr>
          <w:rFonts w:ascii="Arial" w:cs="Arial" w:eastAsia="Arial" w:hAnsi="Arial"/>
          <w:sz w:val="18"/>
          <w:szCs w:val="18"/>
          <w:color w:val="000000"/>
        </w:rPr>
        <w:t xml:space="preserve"> and as may be required by the Company. You </w:t>
      </w:r>
      <w:r>
        <w:rPr>
          <w:rFonts w:ascii="Arial" w:cs="Arial" w:eastAsia="Arial" w:hAnsi="Arial"/>
          <w:sz w:val="18"/>
          <w:szCs w:val="18"/>
          <w:color w:val="333334"/>
        </w:rPr>
        <w:t>will</w:t>
      </w:r>
      <w:r>
        <w:rPr>
          <w:rFonts w:ascii="Arial" w:cs="Arial" w:eastAsia="Arial" w:hAnsi="Arial"/>
          <w:sz w:val="18"/>
          <w:szCs w:val="18"/>
          <w:color w:val="000000"/>
        </w:rPr>
        <w:t xml:space="preserve"> report to the CEO of Yesway.</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You shall have such duties and responsibilities, commensurate with your </w:t>
      </w:r>
      <w:r>
        <w:rPr>
          <w:rFonts w:ascii="Arial" w:cs="Arial" w:eastAsia="Arial" w:hAnsi="Arial"/>
          <w:sz w:val="18"/>
          <w:szCs w:val="18"/>
          <w:color w:val="333334"/>
        </w:rPr>
        <w:t>position</w:t>
      </w:r>
      <w:r>
        <w:rPr>
          <w:rFonts w:ascii="Arial" w:cs="Arial" w:eastAsia="Arial" w:hAnsi="Arial"/>
          <w:sz w:val="18"/>
          <w:szCs w:val="18"/>
          <w:color w:val="515152"/>
        </w:rPr>
        <w:t>,</w:t>
      </w:r>
      <w:r>
        <w:rPr>
          <w:rFonts w:ascii="Arial" w:cs="Arial" w:eastAsia="Arial" w:hAnsi="Arial"/>
          <w:sz w:val="18"/>
          <w:szCs w:val="18"/>
          <w:color w:val="auto"/>
        </w:rPr>
        <w:t xml:space="preserve"> as </w:t>
      </w:r>
      <w:r>
        <w:rPr>
          <w:rFonts w:ascii="Arial" w:cs="Arial" w:eastAsia="Arial" w:hAnsi="Arial"/>
          <w:sz w:val="18"/>
          <w:szCs w:val="18"/>
          <w:color w:val="333334"/>
        </w:rPr>
        <w:t>may</w:t>
      </w:r>
      <w:r>
        <w:rPr>
          <w:rFonts w:ascii="Arial" w:cs="Arial" w:eastAsia="Arial" w:hAnsi="Arial"/>
          <w:sz w:val="18"/>
          <w:szCs w:val="18"/>
          <w:color w:val="auto"/>
        </w:rPr>
        <w:t xml:space="preserve"> be reasonably assigned to you from time to time by the CEO</w:t>
      </w:r>
      <w:r>
        <w:rPr>
          <w:rFonts w:ascii="Arial" w:cs="Arial" w:eastAsia="Arial" w:hAnsi="Arial"/>
          <w:sz w:val="18"/>
          <w:szCs w:val="18"/>
          <w:color w:val="515152"/>
        </w:rPr>
        <w:t>,</w:t>
      </w:r>
      <w:r>
        <w:rPr>
          <w:rFonts w:ascii="Arial" w:cs="Arial" w:eastAsia="Arial" w:hAnsi="Arial"/>
          <w:sz w:val="18"/>
          <w:szCs w:val="18"/>
          <w:color w:val="auto"/>
        </w:rPr>
        <w:t xml:space="preserve"> </w:t>
      </w:r>
      <w:r>
        <w:rPr>
          <w:rFonts w:ascii="Arial" w:cs="Arial" w:eastAsia="Arial" w:hAnsi="Arial"/>
          <w:sz w:val="18"/>
          <w:szCs w:val="18"/>
          <w:color w:val="333334"/>
        </w:rPr>
        <w:t>or wh</w:t>
      </w:r>
      <w:r>
        <w:rPr>
          <w:rFonts w:ascii="Arial" w:cs="Arial" w:eastAsia="Arial" w:hAnsi="Arial"/>
          <w:sz w:val="18"/>
          <w:szCs w:val="18"/>
          <w:color w:val="515152"/>
        </w:rPr>
        <w:t>i</w:t>
      </w:r>
      <w:r>
        <w:rPr>
          <w:rFonts w:ascii="Arial" w:cs="Arial" w:eastAsia="Arial" w:hAnsi="Arial"/>
          <w:sz w:val="18"/>
          <w:szCs w:val="18"/>
          <w:color w:val="333334"/>
        </w:rPr>
        <w:t>ch</w:t>
      </w:r>
      <w:r>
        <w:rPr>
          <w:rFonts w:ascii="Arial" w:cs="Arial" w:eastAsia="Arial" w:hAnsi="Arial"/>
          <w:sz w:val="18"/>
          <w:szCs w:val="18"/>
          <w:color w:val="auto"/>
        </w:rPr>
        <w:t xml:space="preserve"> are </w:t>
      </w:r>
      <w:r>
        <w:rPr>
          <w:rFonts w:ascii="Arial" w:cs="Arial" w:eastAsia="Arial" w:hAnsi="Arial"/>
          <w:sz w:val="18"/>
          <w:szCs w:val="18"/>
          <w:color w:val="333334"/>
        </w:rPr>
        <w:t>in</w:t>
      </w:r>
      <w:r>
        <w:rPr>
          <w:rFonts w:ascii="Arial" w:cs="Arial" w:eastAsia="Arial" w:hAnsi="Arial"/>
          <w:sz w:val="18"/>
          <w:szCs w:val="18"/>
          <w:color w:val="auto"/>
        </w:rPr>
        <w:t xml:space="preserve"> accordance </w:t>
      </w:r>
      <w:r>
        <w:rPr>
          <w:rFonts w:ascii="Arial" w:cs="Arial" w:eastAsia="Arial" w:hAnsi="Arial"/>
          <w:sz w:val="18"/>
          <w:szCs w:val="18"/>
          <w:color w:val="333334"/>
        </w:rPr>
        <w:t>with the</w:t>
      </w:r>
      <w:r>
        <w:rPr>
          <w:rFonts w:ascii="Arial" w:cs="Arial" w:eastAsia="Arial" w:hAnsi="Arial"/>
          <w:sz w:val="18"/>
          <w:szCs w:val="18"/>
          <w:color w:val="auto"/>
        </w:rPr>
        <w:t xml:space="preserve"> delegations of authority set out by </w:t>
      </w:r>
      <w:r>
        <w:rPr>
          <w:rFonts w:ascii="Arial" w:cs="Arial" w:eastAsia="Arial" w:hAnsi="Arial"/>
          <w:sz w:val="18"/>
          <w:szCs w:val="18"/>
          <w:color w:val="333334"/>
        </w:rPr>
        <w:t>the</w:t>
      </w:r>
      <w:r>
        <w:rPr>
          <w:rFonts w:ascii="Arial" w:cs="Arial" w:eastAsia="Arial" w:hAnsi="Arial"/>
          <w:sz w:val="18"/>
          <w:szCs w:val="18"/>
          <w:color w:val="auto"/>
        </w:rPr>
        <w:t xml:space="preserve"> Board. You will use your best efforts to promote the interests and condition (financial and otherwise)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At-Will Employment Relationship</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You may terminate </w:t>
      </w:r>
      <w:r>
        <w:rPr>
          <w:rFonts w:ascii="Arial" w:cs="Arial" w:eastAsia="Arial" w:hAnsi="Arial"/>
          <w:sz w:val="18"/>
          <w:szCs w:val="18"/>
          <w:color w:val="333334"/>
        </w:rPr>
        <w:t>your</w:t>
      </w:r>
      <w:r>
        <w:rPr>
          <w:rFonts w:ascii="Arial" w:cs="Arial" w:eastAsia="Arial" w:hAnsi="Arial"/>
          <w:sz w:val="18"/>
          <w:szCs w:val="18"/>
          <w:color w:val="auto"/>
        </w:rPr>
        <w:t xml:space="preserve"> employment with the Company at any time and </w:t>
      </w:r>
      <w:r>
        <w:rPr>
          <w:rFonts w:ascii="Arial" w:cs="Arial" w:eastAsia="Arial" w:hAnsi="Arial"/>
          <w:sz w:val="18"/>
          <w:szCs w:val="18"/>
          <w:color w:val="333334"/>
        </w:rPr>
        <w:t>for</w:t>
      </w:r>
      <w:r>
        <w:rPr>
          <w:rFonts w:ascii="Arial" w:cs="Arial" w:eastAsia="Arial" w:hAnsi="Arial"/>
          <w:sz w:val="18"/>
          <w:szCs w:val="18"/>
          <w:color w:val="auto"/>
        </w:rPr>
        <w:t xml:space="preserve"> any reason </w:t>
      </w:r>
      <w:r>
        <w:rPr>
          <w:rFonts w:ascii="Arial" w:cs="Arial" w:eastAsia="Arial" w:hAnsi="Arial"/>
          <w:sz w:val="18"/>
          <w:szCs w:val="18"/>
          <w:color w:val="333334"/>
        </w:rPr>
        <w:t>whatsoever</w:t>
      </w:r>
      <w:r>
        <w:rPr>
          <w:rFonts w:ascii="Arial" w:cs="Arial" w:eastAsia="Arial" w:hAnsi="Arial"/>
          <w:sz w:val="18"/>
          <w:szCs w:val="18"/>
          <w:color w:val="auto"/>
        </w:rPr>
        <w:t xml:space="preserve"> simply by notifying the Company. Likewise, the Company may terminate </w:t>
      </w:r>
      <w:r>
        <w:rPr>
          <w:rFonts w:ascii="Arial" w:cs="Arial" w:eastAsia="Arial" w:hAnsi="Arial"/>
          <w:sz w:val="18"/>
          <w:szCs w:val="18"/>
          <w:color w:val="333334"/>
        </w:rPr>
        <w:t>your</w:t>
      </w:r>
      <w:r>
        <w:rPr>
          <w:rFonts w:ascii="Arial" w:cs="Arial" w:eastAsia="Arial" w:hAnsi="Arial"/>
          <w:sz w:val="18"/>
          <w:szCs w:val="18"/>
          <w:color w:val="auto"/>
        </w:rPr>
        <w:t xml:space="preserve"> employment at any time, </w:t>
      </w:r>
      <w:r>
        <w:rPr>
          <w:rFonts w:ascii="Arial" w:cs="Arial" w:eastAsia="Arial" w:hAnsi="Arial"/>
          <w:sz w:val="18"/>
          <w:szCs w:val="18"/>
          <w:color w:val="333334"/>
        </w:rPr>
        <w:t>with</w:t>
      </w:r>
      <w:r>
        <w:rPr>
          <w:rFonts w:ascii="Arial" w:cs="Arial" w:eastAsia="Arial" w:hAnsi="Arial"/>
          <w:sz w:val="18"/>
          <w:szCs w:val="18"/>
          <w:color w:val="auto"/>
        </w:rPr>
        <w:t xml:space="preserve"> or </w:t>
      </w:r>
      <w:r>
        <w:rPr>
          <w:rFonts w:ascii="Arial" w:cs="Arial" w:eastAsia="Arial" w:hAnsi="Arial"/>
          <w:sz w:val="18"/>
          <w:szCs w:val="18"/>
          <w:color w:val="333334"/>
        </w:rPr>
        <w:t>without</w:t>
      </w:r>
      <w:r>
        <w:rPr>
          <w:rFonts w:ascii="Arial" w:cs="Arial" w:eastAsia="Arial" w:hAnsi="Arial"/>
          <w:sz w:val="18"/>
          <w:szCs w:val="18"/>
          <w:color w:val="auto"/>
        </w:rPr>
        <w:t xml:space="preserve"> cause</w:t>
      </w:r>
      <w:r>
        <w:rPr>
          <w:rFonts w:ascii="Arial" w:cs="Arial" w:eastAsia="Arial" w:hAnsi="Arial"/>
          <w:sz w:val="18"/>
          <w:szCs w:val="18"/>
          <w:color w:val="515152"/>
        </w:rPr>
        <w:t>,</w:t>
      </w:r>
      <w:r>
        <w:rPr>
          <w:rFonts w:ascii="Arial" w:cs="Arial" w:eastAsia="Arial" w:hAnsi="Arial"/>
          <w:sz w:val="18"/>
          <w:szCs w:val="18"/>
          <w:color w:val="auto"/>
        </w:rPr>
        <w:t xml:space="preserve"> and with or without advance notice. Your employment at-will status can only be modified </w:t>
      </w:r>
      <w:r>
        <w:rPr>
          <w:rFonts w:ascii="Arial" w:cs="Arial" w:eastAsia="Arial" w:hAnsi="Arial"/>
          <w:sz w:val="18"/>
          <w:szCs w:val="18"/>
          <w:color w:val="333334"/>
        </w:rPr>
        <w:t>in</w:t>
      </w:r>
      <w:r>
        <w:rPr>
          <w:rFonts w:ascii="Arial" w:cs="Arial" w:eastAsia="Arial" w:hAnsi="Arial"/>
          <w:sz w:val="18"/>
          <w:szCs w:val="18"/>
          <w:color w:val="auto"/>
        </w:rPr>
        <w:t xml:space="preserve"> a </w:t>
      </w:r>
      <w:r>
        <w:rPr>
          <w:rFonts w:ascii="Arial" w:cs="Arial" w:eastAsia="Arial" w:hAnsi="Arial"/>
          <w:sz w:val="18"/>
          <w:szCs w:val="18"/>
          <w:color w:val="333334"/>
        </w:rPr>
        <w:t>written</w:t>
      </w:r>
      <w:r>
        <w:rPr>
          <w:rFonts w:ascii="Arial" w:cs="Arial" w:eastAsia="Arial" w:hAnsi="Arial"/>
          <w:sz w:val="18"/>
          <w:szCs w:val="18"/>
          <w:color w:val="auto"/>
        </w:rPr>
        <w:t xml:space="preserve"> agreement approved by the Company and signed by you and a duly authorized member of the Company. If your employment with the Company terminates for any reason (such date of termination, the “</w:t>
      </w:r>
      <w:r>
        <w:rPr>
          <w:rFonts w:ascii="Arial" w:cs="Arial" w:eastAsia="Arial" w:hAnsi="Arial"/>
          <w:sz w:val="18"/>
          <w:szCs w:val="18"/>
          <w:b w:val="1"/>
          <w:bCs w:val="1"/>
          <w:color w:val="auto"/>
        </w:rPr>
        <w:t>Termination Date</w:t>
      </w:r>
      <w:r>
        <w:rPr>
          <w:rFonts w:ascii="Arial" w:cs="Arial" w:eastAsia="Arial" w:hAnsi="Arial"/>
          <w:sz w:val="18"/>
          <w:szCs w:val="18"/>
          <w:color w:val="auto"/>
        </w:rPr>
        <w:t>”), then, concurrently with such termination, you will be deemed to have resigned from all director, officer, trustee or other positions you hold with the Company and any of its affiliates, in each case unless otherwise agreed to in writing by the Company and you. You agree to execute any documents evidencing such resignations as the Company may reasonably request.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 and Employee Benefits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333334"/>
        </w:rPr>
        <w:t xml:space="preserve">Your </w:t>
      </w:r>
      <w:r>
        <w:rPr>
          <w:rFonts w:ascii="Arial" w:cs="Arial" w:eastAsia="Arial" w:hAnsi="Arial"/>
          <w:sz w:val="18"/>
          <w:szCs w:val="18"/>
          <w:color w:val="000000"/>
        </w:rPr>
        <w:t>base salary</w:t>
      </w:r>
      <w:r>
        <w:rPr>
          <w:rFonts w:ascii="Arial" w:cs="Arial" w:eastAsia="Arial" w:hAnsi="Arial"/>
          <w:sz w:val="18"/>
          <w:szCs w:val="18"/>
          <w:color w:val="333334"/>
        </w:rPr>
        <w:t xml:space="preserve"> will </w:t>
      </w:r>
      <w:r>
        <w:rPr>
          <w:rFonts w:ascii="Arial" w:cs="Arial" w:eastAsia="Arial" w:hAnsi="Arial"/>
          <w:sz w:val="18"/>
          <w:szCs w:val="18"/>
          <w:color w:val="000000"/>
        </w:rPr>
        <w:t>be paid at the annual</w:t>
      </w:r>
      <w:r>
        <w:rPr>
          <w:rFonts w:ascii="Arial" w:cs="Arial" w:eastAsia="Arial" w:hAnsi="Arial"/>
          <w:sz w:val="18"/>
          <w:szCs w:val="18"/>
          <w:color w:val="333334"/>
        </w:rPr>
        <w:t xml:space="preserve"> rate </w:t>
      </w:r>
      <w:r>
        <w:rPr>
          <w:rFonts w:ascii="Arial" w:cs="Arial" w:eastAsia="Arial" w:hAnsi="Arial"/>
          <w:sz w:val="18"/>
          <w:szCs w:val="18"/>
          <w:color w:val="000000"/>
        </w:rPr>
        <w:t>of $794,900, less</w:t>
      </w:r>
      <w:r>
        <w:rPr>
          <w:rFonts w:ascii="Arial" w:cs="Arial" w:eastAsia="Arial" w:hAnsi="Arial"/>
          <w:sz w:val="18"/>
          <w:szCs w:val="18"/>
          <w:color w:val="333334"/>
        </w:rPr>
        <w:t xml:space="preserve"> payroll </w:t>
      </w:r>
      <w:r>
        <w:rPr>
          <w:rFonts w:ascii="Arial" w:cs="Arial" w:eastAsia="Arial" w:hAnsi="Arial"/>
          <w:sz w:val="18"/>
          <w:szCs w:val="18"/>
          <w:color w:val="000000"/>
        </w:rPr>
        <w:t>deductions and</w:t>
      </w:r>
      <w:r>
        <w:rPr>
          <w:rFonts w:ascii="Arial" w:cs="Arial" w:eastAsia="Arial" w:hAnsi="Arial"/>
          <w:sz w:val="18"/>
          <w:szCs w:val="18"/>
          <w:color w:val="333334"/>
        </w:rPr>
        <w:t xml:space="preserve"> withholdings, on </w:t>
      </w:r>
      <w:r>
        <w:rPr>
          <w:rFonts w:ascii="Arial" w:cs="Arial" w:eastAsia="Arial" w:hAnsi="Arial"/>
          <w:sz w:val="18"/>
          <w:szCs w:val="18"/>
          <w:color w:val="000000"/>
        </w:rPr>
        <w:t>the Company’s</w:t>
      </w:r>
      <w:r>
        <w:rPr>
          <w:rFonts w:ascii="Arial" w:cs="Arial" w:eastAsia="Arial" w:hAnsi="Arial"/>
          <w:sz w:val="18"/>
          <w:szCs w:val="18"/>
          <w:color w:val="333334"/>
        </w:rPr>
        <w:t xml:space="preserve"> normal </w:t>
      </w:r>
      <w:r>
        <w:rPr>
          <w:rFonts w:ascii="Arial" w:cs="Arial" w:eastAsia="Arial" w:hAnsi="Arial"/>
          <w:sz w:val="18"/>
          <w:szCs w:val="18"/>
          <w:color w:val="000000"/>
        </w:rPr>
        <w:t>payroll schedu</w:t>
      </w:r>
      <w:r>
        <w:rPr>
          <w:rFonts w:ascii="Arial" w:cs="Arial" w:eastAsia="Arial" w:hAnsi="Arial"/>
          <w:sz w:val="18"/>
          <w:szCs w:val="18"/>
          <w:color w:val="515152"/>
        </w:rPr>
        <w:t>l</w:t>
      </w:r>
      <w:r>
        <w:rPr>
          <w:rFonts w:ascii="Arial" w:cs="Arial" w:eastAsia="Arial" w:hAnsi="Arial"/>
          <w:sz w:val="18"/>
          <w:szCs w:val="18"/>
          <w:color w:val="333334"/>
        </w:rPr>
        <w:t xml:space="preserve">e. You </w:t>
      </w:r>
      <w:r>
        <w:rPr>
          <w:rFonts w:ascii="Arial" w:cs="Arial" w:eastAsia="Arial" w:hAnsi="Arial"/>
          <w:sz w:val="18"/>
          <w:szCs w:val="18"/>
          <w:color w:val="000000"/>
        </w:rPr>
        <w:t>will</w:t>
      </w:r>
      <w:r>
        <w:rPr>
          <w:rFonts w:ascii="Arial" w:cs="Arial" w:eastAsia="Arial" w:hAnsi="Arial"/>
          <w:sz w:val="18"/>
          <w:szCs w:val="18"/>
          <w:color w:val="333334"/>
        </w:rPr>
        <w:t xml:space="preserve"> be </w:t>
      </w:r>
      <w:r>
        <w:rPr>
          <w:rFonts w:ascii="Arial" w:cs="Arial" w:eastAsia="Arial" w:hAnsi="Arial"/>
          <w:sz w:val="18"/>
          <w:szCs w:val="18"/>
          <w:color w:val="171717"/>
        </w:rPr>
        <w:t>reimbursed for</w:t>
      </w:r>
      <w:r>
        <w:rPr>
          <w:rFonts w:ascii="Arial" w:cs="Arial" w:eastAsia="Arial" w:hAnsi="Arial"/>
          <w:sz w:val="18"/>
          <w:szCs w:val="18"/>
          <w:color w:val="333334"/>
        </w:rPr>
        <w:t xml:space="preserve"> </w:t>
      </w:r>
      <w:r>
        <w:rPr>
          <w:rFonts w:ascii="Arial" w:cs="Arial" w:eastAsia="Arial" w:hAnsi="Arial"/>
          <w:sz w:val="18"/>
          <w:szCs w:val="18"/>
          <w:color w:val="292929"/>
        </w:rPr>
        <w:t>expenses that</w:t>
      </w:r>
      <w:r>
        <w:rPr>
          <w:rFonts w:ascii="Arial" w:cs="Arial" w:eastAsia="Arial" w:hAnsi="Arial"/>
          <w:sz w:val="18"/>
          <w:szCs w:val="18"/>
          <w:color w:val="333334"/>
        </w:rPr>
        <w:t xml:space="preserve"> </w:t>
      </w:r>
      <w:r>
        <w:rPr>
          <w:rFonts w:ascii="Arial" w:cs="Arial" w:eastAsia="Arial" w:hAnsi="Arial"/>
          <w:sz w:val="18"/>
          <w:szCs w:val="18"/>
          <w:color w:val="171717"/>
        </w:rPr>
        <w:t>are</w:t>
      </w:r>
      <w:r>
        <w:rPr>
          <w:rFonts w:ascii="Arial" w:cs="Arial" w:eastAsia="Arial" w:hAnsi="Arial"/>
          <w:sz w:val="18"/>
          <w:szCs w:val="18"/>
          <w:color w:val="333334"/>
        </w:rPr>
        <w:t xml:space="preserve"> </w:t>
      </w:r>
      <w:r>
        <w:rPr>
          <w:rFonts w:ascii="Arial" w:cs="Arial" w:eastAsia="Arial" w:hAnsi="Arial"/>
          <w:sz w:val="18"/>
          <w:szCs w:val="18"/>
          <w:color w:val="292929"/>
        </w:rPr>
        <w:t>normal and customary for your role</w:t>
      </w:r>
      <w:r>
        <w:rPr>
          <w:rFonts w:ascii="Arial" w:cs="Arial" w:eastAsia="Arial" w:hAnsi="Arial"/>
          <w:sz w:val="18"/>
          <w:szCs w:val="18"/>
          <w:color w:val="333334"/>
        </w:rPr>
        <w:t xml:space="preserve"> </w:t>
      </w:r>
      <w:r>
        <w:rPr>
          <w:rFonts w:ascii="Arial" w:cs="Arial" w:eastAsia="Arial" w:hAnsi="Arial"/>
          <w:sz w:val="18"/>
          <w:szCs w:val="18"/>
          <w:color w:val="171717"/>
        </w:rPr>
        <w:t>and</w:t>
      </w:r>
      <w:r>
        <w:rPr>
          <w:rFonts w:ascii="Arial" w:cs="Arial" w:eastAsia="Arial" w:hAnsi="Arial"/>
          <w:sz w:val="18"/>
          <w:szCs w:val="18"/>
          <w:color w:val="333334"/>
        </w:rPr>
        <w:t xml:space="preserve"> </w:t>
      </w:r>
      <w:r>
        <w:rPr>
          <w:rFonts w:ascii="Arial" w:cs="Arial" w:eastAsia="Arial" w:hAnsi="Arial"/>
          <w:sz w:val="18"/>
          <w:szCs w:val="18"/>
          <w:color w:val="292929"/>
        </w:rPr>
        <w:t>follow</w:t>
      </w:r>
      <w:r>
        <w:rPr>
          <w:rFonts w:ascii="Arial" w:cs="Arial" w:eastAsia="Arial" w:hAnsi="Arial"/>
          <w:sz w:val="18"/>
          <w:szCs w:val="18"/>
          <w:color w:val="333334"/>
        </w:rPr>
        <w:t xml:space="preserve"> </w:t>
      </w:r>
      <w:r>
        <w:rPr>
          <w:rFonts w:ascii="Arial" w:cs="Arial" w:eastAsia="Arial" w:hAnsi="Arial"/>
          <w:sz w:val="18"/>
          <w:szCs w:val="18"/>
          <w:color w:val="292929"/>
        </w:rPr>
        <w:t xml:space="preserve">applicable Company policies. As </w:t>
      </w:r>
      <w:r>
        <w:rPr>
          <w:rFonts w:ascii="Arial" w:cs="Arial" w:eastAsia="Arial" w:hAnsi="Arial"/>
          <w:sz w:val="18"/>
          <w:szCs w:val="18"/>
          <w:color w:val="171717"/>
        </w:rPr>
        <w:t>an exempt</w:t>
      </w:r>
      <w:r>
        <w:rPr>
          <w:rFonts w:ascii="Arial" w:cs="Arial" w:eastAsia="Arial" w:hAnsi="Arial"/>
          <w:sz w:val="18"/>
          <w:szCs w:val="18"/>
          <w:color w:val="292929"/>
        </w:rPr>
        <w:t xml:space="preserve"> salaried employee, you will be </w:t>
      </w:r>
      <w:r>
        <w:rPr>
          <w:rFonts w:ascii="Arial" w:cs="Arial" w:eastAsia="Arial" w:hAnsi="Arial"/>
          <w:sz w:val="18"/>
          <w:szCs w:val="18"/>
          <w:color w:val="171717"/>
        </w:rPr>
        <w:t>required</w:t>
      </w:r>
      <w:r>
        <w:rPr>
          <w:rFonts w:ascii="Arial" w:cs="Arial" w:eastAsia="Arial" w:hAnsi="Arial"/>
          <w:sz w:val="18"/>
          <w:szCs w:val="18"/>
          <w:color w:val="292929"/>
        </w:rPr>
        <w:t xml:space="preserve"> to work the Company’s </w:t>
      </w:r>
      <w:r>
        <w:rPr>
          <w:rFonts w:ascii="Arial" w:cs="Arial" w:eastAsia="Arial" w:hAnsi="Arial"/>
          <w:sz w:val="18"/>
          <w:szCs w:val="18"/>
          <w:color w:val="171717"/>
        </w:rPr>
        <w:t>normal business</w:t>
      </w:r>
      <w:r>
        <w:rPr>
          <w:rFonts w:ascii="Arial" w:cs="Arial" w:eastAsia="Arial" w:hAnsi="Arial"/>
          <w:sz w:val="18"/>
          <w:szCs w:val="18"/>
          <w:color w:val="292929"/>
        </w:rPr>
        <w:t xml:space="preserve"> hours, and such additional </w:t>
      </w:r>
      <w:r>
        <w:rPr>
          <w:rFonts w:ascii="Arial" w:cs="Arial" w:eastAsia="Arial" w:hAnsi="Arial"/>
          <w:sz w:val="18"/>
          <w:szCs w:val="18"/>
          <w:color w:val="171717"/>
        </w:rPr>
        <w:t>time</w:t>
      </w:r>
      <w:r>
        <w:rPr>
          <w:rFonts w:ascii="Arial" w:cs="Arial" w:eastAsia="Arial" w:hAnsi="Arial"/>
          <w:sz w:val="18"/>
          <w:szCs w:val="18"/>
          <w:color w:val="292929"/>
        </w:rPr>
        <w:t xml:space="preserve"> as appropriate </w:t>
      </w:r>
      <w:r>
        <w:rPr>
          <w:rFonts w:ascii="Arial" w:cs="Arial" w:eastAsia="Arial" w:hAnsi="Arial"/>
          <w:sz w:val="18"/>
          <w:szCs w:val="18"/>
          <w:color w:val="171717"/>
        </w:rPr>
        <w:t>for</w:t>
      </w:r>
      <w:r>
        <w:rPr>
          <w:rFonts w:ascii="Arial" w:cs="Arial" w:eastAsia="Arial" w:hAnsi="Arial"/>
          <w:sz w:val="18"/>
          <w:szCs w:val="18"/>
          <w:color w:val="292929"/>
        </w:rPr>
        <w:t xml:space="preserve"> your work </w:t>
      </w:r>
      <w:r>
        <w:rPr>
          <w:rFonts w:ascii="Arial" w:cs="Arial" w:eastAsia="Arial" w:hAnsi="Arial"/>
          <w:sz w:val="18"/>
          <w:szCs w:val="18"/>
          <w:color w:val="171717"/>
        </w:rPr>
        <w:t>assignments</w:t>
      </w:r>
      <w:r>
        <w:rPr>
          <w:rFonts w:ascii="Arial" w:cs="Arial" w:eastAsia="Arial" w:hAnsi="Arial"/>
          <w:sz w:val="18"/>
          <w:szCs w:val="18"/>
          <w:color w:val="292929"/>
        </w:rPr>
        <w:t xml:space="preserve"> and position. You will </w:t>
      </w:r>
      <w:r>
        <w:rPr>
          <w:rFonts w:ascii="Arial" w:cs="Arial" w:eastAsia="Arial" w:hAnsi="Arial"/>
          <w:sz w:val="18"/>
          <w:szCs w:val="18"/>
          <w:color w:val="171717"/>
        </w:rPr>
        <w:t>not</w:t>
      </w:r>
      <w:r>
        <w:rPr>
          <w:rFonts w:ascii="Arial" w:cs="Arial" w:eastAsia="Arial" w:hAnsi="Arial"/>
          <w:sz w:val="18"/>
          <w:szCs w:val="18"/>
          <w:color w:val="292929"/>
        </w:rPr>
        <w:t xml:space="preserve"> be </w:t>
      </w:r>
      <w:r>
        <w:rPr>
          <w:rFonts w:ascii="Arial" w:cs="Arial" w:eastAsia="Arial" w:hAnsi="Arial"/>
          <w:sz w:val="18"/>
          <w:szCs w:val="18"/>
          <w:color w:val="171717"/>
        </w:rPr>
        <w:t>elig</w:t>
      </w:r>
      <w:r>
        <w:rPr>
          <w:rFonts w:ascii="Arial" w:cs="Arial" w:eastAsia="Arial" w:hAnsi="Arial"/>
          <w:sz w:val="18"/>
          <w:szCs w:val="18"/>
          <w:color w:val="3E3E3E"/>
        </w:rPr>
        <w:t>ible</w:t>
      </w:r>
      <w:r>
        <w:rPr>
          <w:rFonts w:ascii="Arial" w:cs="Arial" w:eastAsia="Arial" w:hAnsi="Arial"/>
          <w:sz w:val="18"/>
          <w:szCs w:val="18"/>
          <w:color w:val="292929"/>
        </w:rPr>
        <w:t xml:space="preserve"> </w:t>
      </w:r>
      <w:r>
        <w:rPr>
          <w:rFonts w:ascii="Arial" w:cs="Arial" w:eastAsia="Arial" w:hAnsi="Arial"/>
          <w:sz w:val="18"/>
          <w:szCs w:val="18"/>
          <w:color w:val="171717"/>
        </w:rPr>
        <w:t>for</w:t>
      </w:r>
      <w:r>
        <w:rPr>
          <w:rFonts w:ascii="Arial" w:cs="Arial" w:eastAsia="Arial" w:hAnsi="Arial"/>
          <w:sz w:val="18"/>
          <w:szCs w:val="18"/>
          <w:color w:val="292929"/>
        </w:rPr>
        <w:t xml:space="preserve"> overtime premiums.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92929"/>
        </w:rPr>
        <w:t>Commencing with fiscal year 2026, you will have a target annual incentive cash bonus opportunity of 75% of your base salary. Payment of the cash bonus in any fiscal year, if any, will be subject to the terms and conditions, if any, that the Board or a designated committee thereof establishes in its discretion from time to time (and shall be pro-rated for partial years). Unless otherwise expressly provided in such bonus program or the Severance Plan (as defined below), you must remain employed with the Company through the date of payment of any such bonus to be eligible to receive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586740</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6" w:name="page67"/>
    <w:bookmarkEnd w:id="66"/>
    <w:p>
      <w:pPr>
        <w:jc w:val="both"/>
        <w:ind w:right="20"/>
        <w:spacing w:after="0" w:line="253" w:lineRule="auto"/>
        <w:rPr>
          <w:sz w:val="20"/>
          <w:szCs w:val="20"/>
          <w:color w:val="auto"/>
        </w:rPr>
      </w:pPr>
      <w:r>
        <w:rPr>
          <w:rFonts w:ascii="Arial" w:cs="Arial" w:eastAsia="Arial" w:hAnsi="Arial"/>
          <w:sz w:val="18"/>
          <w:szCs w:val="18"/>
          <w:color w:val="292929"/>
        </w:rPr>
        <w:t xml:space="preserve">You </w:t>
      </w:r>
      <w:r>
        <w:rPr>
          <w:rFonts w:ascii="Arial" w:cs="Arial" w:eastAsia="Arial" w:hAnsi="Arial"/>
          <w:sz w:val="18"/>
          <w:szCs w:val="18"/>
          <w:color w:val="3E3E3E"/>
        </w:rPr>
        <w:t>will</w:t>
      </w:r>
      <w:r>
        <w:rPr>
          <w:rFonts w:ascii="Arial" w:cs="Arial" w:eastAsia="Arial" w:hAnsi="Arial"/>
          <w:sz w:val="18"/>
          <w:szCs w:val="18"/>
          <w:color w:val="292929"/>
        </w:rPr>
        <w:t xml:space="preserve"> be eligible to participate </w:t>
      </w:r>
      <w:r>
        <w:rPr>
          <w:rFonts w:ascii="Arial" w:cs="Arial" w:eastAsia="Arial" w:hAnsi="Arial"/>
          <w:sz w:val="18"/>
          <w:szCs w:val="18"/>
          <w:color w:val="171717"/>
        </w:rPr>
        <w:t>in the Company’s</w:t>
      </w:r>
      <w:r>
        <w:rPr>
          <w:rFonts w:ascii="Arial" w:cs="Arial" w:eastAsia="Arial" w:hAnsi="Arial"/>
          <w:sz w:val="18"/>
          <w:szCs w:val="18"/>
          <w:color w:val="292929"/>
        </w:rPr>
        <w:t xml:space="preserve"> health and welfare, group </w:t>
      </w:r>
      <w:r>
        <w:rPr>
          <w:rFonts w:ascii="Arial" w:cs="Arial" w:eastAsia="Arial" w:hAnsi="Arial"/>
          <w:sz w:val="18"/>
          <w:szCs w:val="18"/>
          <w:color w:val="3E3E3E"/>
        </w:rPr>
        <w:t>i</w:t>
      </w:r>
      <w:r>
        <w:rPr>
          <w:rFonts w:ascii="Arial" w:cs="Arial" w:eastAsia="Arial" w:hAnsi="Arial"/>
          <w:sz w:val="18"/>
          <w:szCs w:val="18"/>
          <w:color w:val="171717"/>
        </w:rPr>
        <w:t>ns</w:t>
      </w:r>
      <w:r>
        <w:rPr>
          <w:rFonts w:ascii="Arial" w:cs="Arial" w:eastAsia="Arial" w:hAnsi="Arial"/>
          <w:sz w:val="18"/>
          <w:szCs w:val="18"/>
          <w:color w:val="3E3E3E"/>
        </w:rPr>
        <w:t>urance, retireme</w:t>
      </w:r>
      <w:r>
        <w:rPr>
          <w:rFonts w:ascii="Arial" w:cs="Arial" w:eastAsia="Arial" w:hAnsi="Arial"/>
          <w:sz w:val="18"/>
          <w:szCs w:val="18"/>
          <w:color w:val="171717"/>
        </w:rPr>
        <w:t>nt</w:t>
      </w:r>
      <w:r>
        <w:rPr>
          <w:rFonts w:ascii="Arial" w:cs="Arial" w:eastAsia="Arial" w:hAnsi="Arial"/>
          <w:sz w:val="18"/>
          <w:szCs w:val="18"/>
          <w:color w:val="292929"/>
        </w:rPr>
        <w:t xml:space="preserve"> and other employee benefit plans, programs and arrangements (pursuant </w:t>
      </w:r>
      <w:r>
        <w:rPr>
          <w:rFonts w:ascii="Arial" w:cs="Arial" w:eastAsia="Arial" w:hAnsi="Arial"/>
          <w:sz w:val="18"/>
          <w:szCs w:val="18"/>
          <w:color w:val="171717"/>
        </w:rPr>
        <w:t>to the</w:t>
      </w:r>
      <w:r>
        <w:rPr>
          <w:rFonts w:ascii="Arial" w:cs="Arial" w:eastAsia="Arial" w:hAnsi="Arial"/>
          <w:sz w:val="18"/>
          <w:szCs w:val="18"/>
          <w:color w:val="292929"/>
        </w:rPr>
        <w:t xml:space="preserve"> terms </w:t>
      </w:r>
      <w:r>
        <w:rPr>
          <w:rFonts w:ascii="Arial" w:cs="Arial" w:eastAsia="Arial" w:hAnsi="Arial"/>
          <w:sz w:val="18"/>
          <w:szCs w:val="18"/>
          <w:color w:val="171717"/>
        </w:rPr>
        <w:t>and</w:t>
      </w:r>
      <w:r>
        <w:rPr>
          <w:rFonts w:ascii="Arial" w:cs="Arial" w:eastAsia="Arial" w:hAnsi="Arial"/>
          <w:sz w:val="18"/>
          <w:szCs w:val="18"/>
          <w:color w:val="292929"/>
        </w:rPr>
        <w:t xml:space="preserve"> </w:t>
      </w:r>
      <w:r>
        <w:rPr>
          <w:rFonts w:ascii="Arial" w:cs="Arial" w:eastAsia="Arial" w:hAnsi="Arial"/>
          <w:sz w:val="18"/>
          <w:szCs w:val="18"/>
          <w:color w:val="3E3E3E"/>
        </w:rPr>
        <w:t>co</w:t>
      </w:r>
      <w:r>
        <w:rPr>
          <w:rFonts w:ascii="Arial" w:cs="Arial" w:eastAsia="Arial" w:hAnsi="Arial"/>
          <w:sz w:val="18"/>
          <w:szCs w:val="18"/>
          <w:color w:val="171717"/>
        </w:rPr>
        <w:t>nditions</w:t>
      </w:r>
      <w:r>
        <w:rPr>
          <w:rFonts w:ascii="Arial" w:cs="Arial" w:eastAsia="Arial" w:hAnsi="Arial"/>
          <w:sz w:val="18"/>
          <w:szCs w:val="18"/>
          <w:color w:val="292929"/>
        </w:rPr>
        <w:t xml:space="preserve"> of the benefit plans </w:t>
      </w:r>
      <w:r>
        <w:rPr>
          <w:rFonts w:ascii="Arial" w:cs="Arial" w:eastAsia="Arial" w:hAnsi="Arial"/>
          <w:sz w:val="18"/>
          <w:szCs w:val="18"/>
          <w:color w:val="171717"/>
        </w:rPr>
        <w:t>and</w:t>
      </w:r>
      <w:r>
        <w:rPr>
          <w:rFonts w:ascii="Arial" w:cs="Arial" w:eastAsia="Arial" w:hAnsi="Arial"/>
          <w:sz w:val="18"/>
          <w:szCs w:val="18"/>
          <w:color w:val="292929"/>
        </w:rPr>
        <w:t xml:space="preserve"> applicable policies) as are </w:t>
      </w:r>
      <w:r>
        <w:rPr>
          <w:rFonts w:ascii="Arial" w:cs="Arial" w:eastAsia="Arial" w:hAnsi="Arial"/>
          <w:sz w:val="18"/>
          <w:szCs w:val="18"/>
          <w:color w:val="171717"/>
        </w:rPr>
        <w:t>made generally</w:t>
      </w:r>
      <w:r>
        <w:rPr>
          <w:rFonts w:ascii="Arial" w:cs="Arial" w:eastAsia="Arial" w:hAnsi="Arial"/>
          <w:sz w:val="18"/>
          <w:szCs w:val="18"/>
          <w:color w:val="292929"/>
        </w:rPr>
        <w:t xml:space="preserve"> available </w:t>
      </w:r>
      <w:r>
        <w:rPr>
          <w:rFonts w:ascii="Arial" w:cs="Arial" w:eastAsia="Arial" w:hAnsi="Arial"/>
          <w:sz w:val="18"/>
          <w:szCs w:val="18"/>
          <w:color w:val="171717"/>
        </w:rPr>
        <w:t>from time to time to</w:t>
      </w:r>
      <w:r>
        <w:rPr>
          <w:rFonts w:ascii="Arial" w:cs="Arial" w:eastAsia="Arial" w:hAnsi="Arial"/>
          <w:sz w:val="18"/>
          <w:szCs w:val="18"/>
          <w:color w:val="292929"/>
        </w:rPr>
        <w:t xml:space="preserve"> executives of </w:t>
      </w:r>
      <w:r>
        <w:rPr>
          <w:rFonts w:ascii="Arial" w:cs="Arial" w:eastAsia="Arial" w:hAnsi="Arial"/>
          <w:sz w:val="18"/>
          <w:szCs w:val="18"/>
          <w:color w:val="3E3E3E"/>
        </w:rPr>
        <w:t>the</w:t>
      </w:r>
      <w:r>
        <w:rPr>
          <w:rFonts w:ascii="Arial" w:cs="Arial" w:eastAsia="Arial" w:hAnsi="Arial"/>
          <w:sz w:val="18"/>
          <w:szCs w:val="18"/>
          <w:color w:val="292929"/>
        </w:rPr>
        <w:t xml:space="preserve"> Company.</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71717"/>
        </w:rPr>
        <w:t xml:space="preserve">You </w:t>
      </w:r>
      <w:r>
        <w:rPr>
          <w:rFonts w:ascii="Arial" w:cs="Arial" w:eastAsia="Arial" w:hAnsi="Arial"/>
          <w:sz w:val="18"/>
          <w:szCs w:val="18"/>
          <w:color w:val="292929"/>
        </w:rPr>
        <w:t>will be eligible</w:t>
      </w:r>
      <w:r>
        <w:rPr>
          <w:rFonts w:ascii="Arial" w:cs="Arial" w:eastAsia="Arial" w:hAnsi="Arial"/>
          <w:sz w:val="18"/>
          <w:szCs w:val="18"/>
          <w:color w:val="171717"/>
        </w:rPr>
        <w:t xml:space="preserve"> for 5 weeks of </w:t>
      </w:r>
      <w:r>
        <w:rPr>
          <w:rFonts w:ascii="Arial" w:cs="Arial" w:eastAsia="Arial" w:hAnsi="Arial"/>
          <w:sz w:val="18"/>
          <w:szCs w:val="18"/>
          <w:color w:val="292929"/>
        </w:rPr>
        <w:t>vacation</w:t>
      </w:r>
      <w:r>
        <w:rPr>
          <w:rFonts w:ascii="Arial" w:cs="Arial" w:eastAsia="Arial" w:hAnsi="Arial"/>
          <w:sz w:val="18"/>
          <w:szCs w:val="18"/>
          <w:color w:val="171717"/>
        </w:rPr>
        <w:t xml:space="preserve"> per </w:t>
      </w:r>
      <w:r>
        <w:rPr>
          <w:rFonts w:ascii="Arial" w:cs="Arial" w:eastAsia="Arial" w:hAnsi="Arial"/>
          <w:sz w:val="18"/>
          <w:szCs w:val="18"/>
          <w:color w:val="292929"/>
        </w:rPr>
        <w:t>year. You will earn any additional vacation according</w:t>
      </w:r>
      <w:r>
        <w:rPr>
          <w:rFonts w:ascii="Arial" w:cs="Arial" w:eastAsia="Arial" w:hAnsi="Arial"/>
          <w:sz w:val="18"/>
          <w:szCs w:val="18"/>
          <w:color w:val="171717"/>
        </w:rPr>
        <w:t xml:space="preserve"> to the Company’s </w:t>
      </w:r>
      <w:r>
        <w:rPr>
          <w:rFonts w:ascii="Arial" w:cs="Arial" w:eastAsia="Arial" w:hAnsi="Arial"/>
          <w:sz w:val="18"/>
          <w:szCs w:val="18"/>
          <w:color w:val="292929"/>
        </w:rPr>
        <w:t xml:space="preserve">vacation </w:t>
      </w:r>
      <w:r>
        <w:rPr>
          <w:rFonts w:ascii="Arial" w:cs="Arial" w:eastAsia="Arial" w:hAnsi="Arial"/>
          <w:sz w:val="18"/>
          <w:szCs w:val="18"/>
          <w:color w:val="171717"/>
        </w:rPr>
        <w:t>policy</w:t>
      </w:r>
      <w:r>
        <w:rPr>
          <w:rFonts w:ascii="Arial" w:cs="Arial" w:eastAsia="Arial" w:hAnsi="Arial"/>
          <w:sz w:val="18"/>
          <w:szCs w:val="18"/>
          <w:color w:val="3E3E3E"/>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92929"/>
        </w:rPr>
        <w:t>IPO and Equity Awards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92929"/>
        </w:rPr>
        <w:t xml:space="preserve">In connection with the IPO, subject to the approval of the Board (or a committee thereof), you will be granted </w:t>
      </w:r>
      <w:r>
        <w:rPr>
          <w:rFonts w:ascii="Arial" w:cs="Arial" w:eastAsia="Arial" w:hAnsi="Arial"/>
          <w:sz w:val="18"/>
          <w:szCs w:val="18"/>
          <w:color w:val="000000"/>
        </w:rPr>
        <w:t>restricted stock</w:t>
      </w:r>
      <w:r>
        <w:rPr>
          <w:rFonts w:ascii="Arial" w:cs="Arial" w:eastAsia="Arial" w:hAnsi="Arial"/>
          <w:sz w:val="18"/>
          <w:szCs w:val="18"/>
          <w:color w:val="292929"/>
        </w:rPr>
        <w:t xml:space="preserve"> </w:t>
      </w:r>
      <w:r>
        <w:rPr>
          <w:rFonts w:ascii="Arial" w:cs="Arial" w:eastAsia="Arial" w:hAnsi="Arial"/>
          <w:sz w:val="18"/>
          <w:szCs w:val="18"/>
          <w:color w:val="000000"/>
        </w:rPr>
        <w:t xml:space="preserve">units with respect to shares of Class A common stock of Yesway with an aggregate grant date value of $4,320,000 and performance stock units with respect to shares of Class A common stock of Yesway </w:t>
      </w:r>
      <w:r>
        <w:rPr>
          <w:rFonts w:ascii="Arial" w:cs="Arial" w:eastAsia="Arial" w:hAnsi="Arial"/>
          <w:sz w:val="18"/>
          <w:szCs w:val="18"/>
          <w:color w:val="292929"/>
        </w:rPr>
        <w:t>with an aggregate grant date value of</w:t>
      </w:r>
      <w:r>
        <w:rPr>
          <w:rFonts w:ascii="Arial" w:cs="Arial" w:eastAsia="Arial" w:hAnsi="Arial"/>
          <w:sz w:val="18"/>
          <w:szCs w:val="18"/>
          <w:color w:val="000000"/>
        </w:rPr>
        <w:t xml:space="preserve"> </w:t>
      </w:r>
      <w:r>
        <w:rPr>
          <w:rFonts w:ascii="Arial" w:cs="Arial" w:eastAsia="Arial" w:hAnsi="Arial"/>
          <w:sz w:val="18"/>
          <w:szCs w:val="18"/>
          <w:color w:val="292929"/>
        </w:rPr>
        <w:t>$4,320,000 under Yesway’s 2026 Incentive Award Plan (the “</w:t>
      </w:r>
      <w:r>
        <w:rPr>
          <w:rFonts w:ascii="Arial" w:cs="Arial" w:eastAsia="Arial" w:hAnsi="Arial"/>
          <w:sz w:val="18"/>
          <w:szCs w:val="18"/>
          <w:b w:val="1"/>
          <w:bCs w:val="1"/>
          <w:color w:val="292929"/>
        </w:rPr>
        <w:t>2026 Plan</w:t>
      </w:r>
      <w:r>
        <w:rPr>
          <w:rFonts w:ascii="Arial" w:cs="Arial" w:eastAsia="Arial" w:hAnsi="Arial"/>
          <w:sz w:val="18"/>
          <w:szCs w:val="18"/>
          <w:color w:val="292929"/>
        </w:rPr>
        <w:t>”) and an applicable award agreement thereunder.</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92929"/>
        </w:rPr>
        <w:t>During your employment with the Company, you will be eligible to participate in the 2026 Plan or other equity incentive plan then in effect and receive equity awards thereunder, as determined by the Board (or a committee thereof) in its discretion and subject to the terms of the 2026 Plan or other equity incentive plan then in effect and an applicable award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C1C1C"/>
        </w:rPr>
        <w:t>Severance Benefits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will be eligible to participate in the Yesway, Inc. Executive Severance Plan (as amended and restated from time to time, the “</w:t>
      </w:r>
      <w:r>
        <w:rPr>
          <w:rFonts w:ascii="Arial" w:cs="Arial" w:eastAsia="Arial" w:hAnsi="Arial"/>
          <w:sz w:val="18"/>
          <w:szCs w:val="18"/>
          <w:b w:val="1"/>
          <w:bCs w:val="1"/>
          <w:color w:val="auto"/>
        </w:rPr>
        <w:t>Severance Plan</w:t>
      </w:r>
      <w:r>
        <w:rPr>
          <w:rFonts w:ascii="Arial" w:cs="Arial" w:eastAsia="Arial" w:hAnsi="Arial"/>
          <w:sz w:val="18"/>
          <w:szCs w:val="18"/>
          <w:color w:val="auto"/>
        </w:rPr>
        <w:t>”), a copy of which has been provided to you. By signing this Agreement, you are acknowledging such participation and your understanding that you are agreeing to all of the terms and conditions of the Severance Plan, including certain promises and covenants contained in Section 9 of the Severance Plan (which apply regardless of whether you receive any payments or benefits under the Severance Plan). You should read the entire Severance Plan carefully.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C1C1C"/>
        </w:rPr>
        <w:t>Section 409A</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C1C1C"/>
        </w:rPr>
        <w:t>Notwith</w:t>
      </w:r>
      <w:r>
        <w:rPr>
          <w:rFonts w:ascii="Arial" w:cs="Arial" w:eastAsia="Arial" w:hAnsi="Arial"/>
          <w:sz w:val="18"/>
          <w:szCs w:val="18"/>
          <w:color w:val="434343"/>
        </w:rPr>
        <w:t>sta</w:t>
      </w:r>
      <w:r>
        <w:rPr>
          <w:rFonts w:ascii="Arial" w:cs="Arial" w:eastAsia="Arial" w:hAnsi="Arial"/>
          <w:sz w:val="18"/>
          <w:szCs w:val="18"/>
          <w:color w:val="1C1C1C"/>
        </w:rPr>
        <w:t xml:space="preserve">nding </w:t>
      </w:r>
      <w:r>
        <w:rPr>
          <w:rFonts w:ascii="Arial" w:cs="Arial" w:eastAsia="Arial" w:hAnsi="Arial"/>
          <w:sz w:val="18"/>
          <w:szCs w:val="18"/>
          <w:color w:val="2C2C2C"/>
        </w:rPr>
        <w:t>anything</w:t>
      </w:r>
      <w:r>
        <w:rPr>
          <w:rFonts w:ascii="Arial" w:cs="Arial" w:eastAsia="Arial" w:hAnsi="Arial"/>
          <w:sz w:val="18"/>
          <w:szCs w:val="18"/>
          <w:color w:val="1C1C1C"/>
        </w:rPr>
        <w:t xml:space="preserve"> herein to </w:t>
      </w:r>
      <w:r>
        <w:rPr>
          <w:rFonts w:ascii="Arial" w:cs="Arial" w:eastAsia="Arial" w:hAnsi="Arial"/>
          <w:sz w:val="18"/>
          <w:szCs w:val="18"/>
          <w:color w:val="2C2C2C"/>
        </w:rPr>
        <w:t>the</w:t>
      </w:r>
      <w:r>
        <w:rPr>
          <w:rFonts w:ascii="Arial" w:cs="Arial" w:eastAsia="Arial" w:hAnsi="Arial"/>
          <w:sz w:val="18"/>
          <w:szCs w:val="18"/>
          <w:color w:val="1C1C1C"/>
        </w:rPr>
        <w:t xml:space="preserve"> </w:t>
      </w:r>
      <w:r>
        <w:rPr>
          <w:rFonts w:ascii="Arial" w:cs="Arial" w:eastAsia="Arial" w:hAnsi="Arial"/>
          <w:sz w:val="18"/>
          <w:szCs w:val="18"/>
          <w:color w:val="434343"/>
        </w:rPr>
        <w:t>co</w:t>
      </w:r>
      <w:r>
        <w:rPr>
          <w:rFonts w:ascii="Arial" w:cs="Arial" w:eastAsia="Arial" w:hAnsi="Arial"/>
          <w:sz w:val="18"/>
          <w:szCs w:val="18"/>
          <w:color w:val="1C1C1C"/>
        </w:rPr>
        <w:t>ntrary</w:t>
      </w:r>
      <w:r>
        <w:rPr>
          <w:rFonts w:ascii="Arial" w:cs="Arial" w:eastAsia="Arial" w:hAnsi="Arial"/>
          <w:sz w:val="18"/>
          <w:szCs w:val="18"/>
          <w:color w:val="434343"/>
        </w:rPr>
        <w:t>,</w:t>
      </w:r>
      <w:r>
        <w:rPr>
          <w:rFonts w:ascii="Arial" w:cs="Arial" w:eastAsia="Arial" w:hAnsi="Arial"/>
          <w:sz w:val="18"/>
          <w:szCs w:val="18"/>
          <w:color w:val="1C1C1C"/>
        </w:rPr>
        <w:t xml:space="preserve"> this </w:t>
      </w:r>
      <w:r>
        <w:rPr>
          <w:rFonts w:ascii="Arial" w:cs="Arial" w:eastAsia="Arial" w:hAnsi="Arial"/>
          <w:sz w:val="18"/>
          <w:szCs w:val="18"/>
          <w:color w:val="2C2C2C"/>
        </w:rPr>
        <w:t>Agreement</w:t>
      </w:r>
      <w:r>
        <w:rPr>
          <w:rFonts w:ascii="Arial" w:cs="Arial" w:eastAsia="Arial" w:hAnsi="Arial"/>
          <w:sz w:val="18"/>
          <w:szCs w:val="18"/>
          <w:color w:val="1C1C1C"/>
        </w:rPr>
        <w:t xml:space="preserve"> is </w:t>
      </w:r>
      <w:r>
        <w:rPr>
          <w:rFonts w:ascii="Arial" w:cs="Arial" w:eastAsia="Arial" w:hAnsi="Arial"/>
          <w:sz w:val="18"/>
          <w:szCs w:val="18"/>
          <w:color w:val="2C2C2C"/>
        </w:rPr>
        <w:t>intended to be interpreted and applied</w:t>
      </w:r>
      <w:r>
        <w:rPr>
          <w:rFonts w:ascii="Arial" w:cs="Arial" w:eastAsia="Arial" w:hAnsi="Arial"/>
          <w:sz w:val="18"/>
          <w:szCs w:val="18"/>
          <w:color w:val="1C1C1C"/>
        </w:rPr>
        <w:t xml:space="preserve"> so that the </w:t>
      </w:r>
      <w:r>
        <w:rPr>
          <w:rFonts w:ascii="Arial" w:cs="Arial" w:eastAsia="Arial" w:hAnsi="Arial"/>
          <w:sz w:val="18"/>
          <w:szCs w:val="18"/>
          <w:color w:val="2C2C2C"/>
        </w:rPr>
        <w:t xml:space="preserve">payment of the benefits </w:t>
      </w:r>
      <w:r>
        <w:rPr>
          <w:rFonts w:ascii="Arial" w:cs="Arial" w:eastAsia="Arial" w:hAnsi="Arial"/>
          <w:sz w:val="18"/>
          <w:szCs w:val="18"/>
          <w:color w:val="1C1C1C"/>
        </w:rPr>
        <w:t>set</w:t>
      </w:r>
      <w:r>
        <w:rPr>
          <w:rFonts w:ascii="Arial" w:cs="Arial" w:eastAsia="Arial" w:hAnsi="Arial"/>
          <w:sz w:val="18"/>
          <w:szCs w:val="18"/>
          <w:color w:val="2C2C2C"/>
        </w:rPr>
        <w:t xml:space="preserve"> forth </w:t>
      </w:r>
      <w:r>
        <w:rPr>
          <w:rFonts w:ascii="Arial" w:cs="Arial" w:eastAsia="Arial" w:hAnsi="Arial"/>
          <w:sz w:val="18"/>
          <w:szCs w:val="18"/>
          <w:color w:val="1C1C1C"/>
        </w:rPr>
        <w:t>herein</w:t>
      </w:r>
      <w:r>
        <w:rPr>
          <w:rFonts w:ascii="Arial" w:cs="Arial" w:eastAsia="Arial" w:hAnsi="Arial"/>
          <w:sz w:val="18"/>
          <w:szCs w:val="18"/>
          <w:color w:val="2C2C2C"/>
        </w:rPr>
        <w:t xml:space="preserve"> shall either be exempt from the </w:t>
      </w:r>
      <w:r>
        <w:rPr>
          <w:rFonts w:ascii="Arial" w:cs="Arial" w:eastAsia="Arial" w:hAnsi="Arial"/>
          <w:sz w:val="18"/>
          <w:szCs w:val="18"/>
          <w:color w:val="434343"/>
        </w:rPr>
        <w:t>requiremen</w:t>
      </w:r>
      <w:r>
        <w:rPr>
          <w:rFonts w:ascii="Arial" w:cs="Arial" w:eastAsia="Arial" w:hAnsi="Arial"/>
          <w:sz w:val="18"/>
          <w:szCs w:val="18"/>
          <w:color w:val="1C1C1C"/>
        </w:rPr>
        <w:t>ts</w:t>
      </w:r>
      <w:r>
        <w:rPr>
          <w:rFonts w:ascii="Arial" w:cs="Arial" w:eastAsia="Arial" w:hAnsi="Arial"/>
          <w:sz w:val="18"/>
          <w:szCs w:val="18"/>
          <w:color w:val="2C2C2C"/>
        </w:rPr>
        <w:t xml:space="preserve"> of </w:t>
      </w:r>
      <w:r>
        <w:rPr>
          <w:rFonts w:ascii="Arial" w:cs="Arial" w:eastAsia="Arial" w:hAnsi="Arial"/>
          <w:sz w:val="18"/>
          <w:szCs w:val="18"/>
          <w:color w:val="1C1C1C"/>
        </w:rPr>
        <w:t>Section</w:t>
      </w:r>
      <w:r>
        <w:rPr>
          <w:rFonts w:ascii="Arial" w:cs="Arial" w:eastAsia="Arial" w:hAnsi="Arial"/>
          <w:sz w:val="18"/>
          <w:szCs w:val="18"/>
          <w:color w:val="2C2C2C"/>
        </w:rPr>
        <w:t xml:space="preserve"> 409A of </w:t>
      </w:r>
      <w:r>
        <w:rPr>
          <w:rFonts w:ascii="Arial" w:cs="Arial" w:eastAsia="Arial" w:hAnsi="Arial"/>
          <w:sz w:val="18"/>
          <w:szCs w:val="18"/>
          <w:color w:val="1C1C1C"/>
        </w:rPr>
        <w:t>the Internal</w:t>
      </w:r>
      <w:r>
        <w:rPr>
          <w:rFonts w:ascii="Arial" w:cs="Arial" w:eastAsia="Arial" w:hAnsi="Arial"/>
          <w:sz w:val="18"/>
          <w:szCs w:val="18"/>
          <w:color w:val="2C2C2C"/>
        </w:rPr>
        <w:t xml:space="preserve"> </w:t>
      </w:r>
      <w:r>
        <w:rPr>
          <w:rFonts w:ascii="Arial" w:cs="Arial" w:eastAsia="Arial" w:hAnsi="Arial"/>
          <w:sz w:val="18"/>
          <w:szCs w:val="18"/>
          <w:color w:val="1C1C1C"/>
        </w:rPr>
        <w:t xml:space="preserve">Revenue </w:t>
      </w:r>
      <w:r>
        <w:rPr>
          <w:rFonts w:ascii="Arial" w:cs="Arial" w:eastAsia="Arial" w:hAnsi="Arial"/>
          <w:sz w:val="18"/>
          <w:szCs w:val="18"/>
          <w:color w:val="2C2C2C"/>
        </w:rPr>
        <w:t>Code of 1986, as amended (the “</w:t>
      </w:r>
      <w:r>
        <w:rPr>
          <w:rFonts w:ascii="Arial" w:cs="Arial" w:eastAsia="Arial" w:hAnsi="Arial"/>
          <w:sz w:val="18"/>
          <w:szCs w:val="18"/>
          <w:b w:val="1"/>
          <w:bCs w:val="1"/>
          <w:color w:val="2C2C2C"/>
        </w:rPr>
        <w:t>Code</w:t>
      </w:r>
      <w:r>
        <w:rPr>
          <w:rFonts w:ascii="Arial" w:cs="Arial" w:eastAsia="Arial" w:hAnsi="Arial"/>
          <w:sz w:val="18"/>
          <w:szCs w:val="18"/>
          <w:color w:val="2C2C2C"/>
        </w:rPr>
        <w:t>”)</w:t>
      </w:r>
      <w:r>
        <w:rPr>
          <w:rFonts w:ascii="Arial" w:cs="Arial" w:eastAsia="Arial" w:hAnsi="Arial"/>
          <w:sz w:val="18"/>
          <w:szCs w:val="18"/>
          <w:color w:val="1C1C1C"/>
        </w:rPr>
        <w:t xml:space="preserve"> </w:t>
      </w:r>
      <w:r>
        <w:rPr>
          <w:rFonts w:ascii="Arial" w:cs="Arial" w:eastAsia="Arial" w:hAnsi="Arial"/>
          <w:sz w:val="18"/>
          <w:szCs w:val="18"/>
          <w:color w:val="434343"/>
        </w:rPr>
        <w:t>(together with the Department of Treasury Regulations and other</w:t>
      </w:r>
      <w:r>
        <w:rPr>
          <w:rFonts w:ascii="Arial" w:cs="Arial" w:eastAsia="Arial" w:hAnsi="Arial"/>
          <w:sz w:val="18"/>
          <w:szCs w:val="18"/>
          <w:color w:val="1C1C1C"/>
        </w:rPr>
        <w:t xml:space="preserve"> </w:t>
      </w:r>
      <w:r>
        <w:rPr>
          <w:rFonts w:ascii="Arial" w:cs="Arial" w:eastAsia="Arial" w:hAnsi="Arial"/>
          <w:sz w:val="18"/>
          <w:szCs w:val="18"/>
          <w:color w:val="434343"/>
        </w:rPr>
        <w:t>guidance thereunder, “</w:t>
      </w:r>
      <w:r>
        <w:rPr>
          <w:rFonts w:ascii="Arial" w:cs="Arial" w:eastAsia="Arial" w:hAnsi="Arial"/>
          <w:sz w:val="18"/>
          <w:szCs w:val="18"/>
          <w:b w:val="1"/>
          <w:bCs w:val="1"/>
          <w:color w:val="1C1C1C"/>
        </w:rPr>
        <w:t>Section 409A</w:t>
      </w:r>
      <w:r>
        <w:rPr>
          <w:rFonts w:ascii="Arial" w:cs="Arial" w:eastAsia="Arial" w:hAnsi="Arial"/>
          <w:sz w:val="18"/>
          <w:szCs w:val="18"/>
          <w:color w:val="434343"/>
        </w:rPr>
        <w:t>”) o</w:t>
      </w:r>
      <w:r>
        <w:rPr>
          <w:rFonts w:ascii="Arial" w:cs="Arial" w:eastAsia="Arial" w:hAnsi="Arial"/>
          <w:sz w:val="18"/>
          <w:szCs w:val="18"/>
          <w:color w:val="1C1C1C"/>
        </w:rPr>
        <w:t>r</w:t>
      </w:r>
      <w:r>
        <w:rPr>
          <w:rFonts w:ascii="Arial" w:cs="Arial" w:eastAsia="Arial" w:hAnsi="Arial"/>
          <w:sz w:val="18"/>
          <w:szCs w:val="18"/>
          <w:color w:val="434343"/>
        </w:rPr>
        <w:t xml:space="preserve"> </w:t>
      </w:r>
      <w:r>
        <w:rPr>
          <w:rFonts w:ascii="Arial" w:cs="Arial" w:eastAsia="Arial" w:hAnsi="Arial"/>
          <w:sz w:val="18"/>
          <w:szCs w:val="18"/>
          <w:color w:val="2C2C2C"/>
        </w:rPr>
        <w:t>shall</w:t>
      </w:r>
      <w:r>
        <w:rPr>
          <w:rFonts w:ascii="Arial" w:cs="Arial" w:eastAsia="Arial" w:hAnsi="Arial"/>
          <w:sz w:val="18"/>
          <w:szCs w:val="18"/>
          <w:color w:val="434343"/>
        </w:rPr>
        <w:t xml:space="preserve"> comply </w:t>
      </w:r>
      <w:r>
        <w:rPr>
          <w:rFonts w:ascii="Arial" w:cs="Arial" w:eastAsia="Arial" w:hAnsi="Arial"/>
          <w:sz w:val="18"/>
          <w:szCs w:val="18"/>
          <w:color w:val="2C2C2C"/>
        </w:rPr>
        <w:t>with</w:t>
      </w:r>
      <w:r>
        <w:rPr>
          <w:rFonts w:ascii="Arial" w:cs="Arial" w:eastAsia="Arial" w:hAnsi="Arial"/>
          <w:sz w:val="18"/>
          <w:szCs w:val="18"/>
          <w:color w:val="434343"/>
        </w:rPr>
        <w:t xml:space="preserve"> </w:t>
      </w:r>
      <w:r>
        <w:rPr>
          <w:rFonts w:ascii="Arial" w:cs="Arial" w:eastAsia="Arial" w:hAnsi="Arial"/>
          <w:sz w:val="18"/>
          <w:szCs w:val="18"/>
          <w:color w:val="1C1C1C"/>
        </w:rPr>
        <w:t>the requirements</w:t>
      </w:r>
      <w:r>
        <w:rPr>
          <w:rFonts w:ascii="Arial" w:cs="Arial" w:eastAsia="Arial" w:hAnsi="Arial"/>
          <w:sz w:val="18"/>
          <w:szCs w:val="18"/>
          <w:color w:val="434343"/>
        </w:rPr>
        <w:t xml:space="preserve"> </w:t>
      </w:r>
      <w:r>
        <w:rPr>
          <w:rFonts w:ascii="Arial" w:cs="Arial" w:eastAsia="Arial" w:hAnsi="Arial"/>
          <w:sz w:val="18"/>
          <w:szCs w:val="18"/>
          <w:color w:val="2C2C2C"/>
        </w:rPr>
        <w:t>of such</w:t>
      </w:r>
      <w:r>
        <w:rPr>
          <w:rFonts w:ascii="Arial" w:cs="Arial" w:eastAsia="Arial" w:hAnsi="Arial"/>
          <w:sz w:val="18"/>
          <w:szCs w:val="18"/>
          <w:color w:val="434343"/>
        </w:rPr>
        <w:t xml:space="preserve"> prov</w:t>
      </w:r>
      <w:r>
        <w:rPr>
          <w:rFonts w:ascii="Arial" w:cs="Arial" w:eastAsia="Arial" w:hAnsi="Arial"/>
          <w:sz w:val="18"/>
          <w:szCs w:val="18"/>
          <w:color w:val="1C1C1C"/>
        </w:rPr>
        <w:t>is</w:t>
      </w:r>
      <w:r>
        <w:rPr>
          <w:rFonts w:ascii="Arial" w:cs="Arial" w:eastAsia="Arial" w:hAnsi="Arial"/>
          <w:sz w:val="18"/>
          <w:szCs w:val="18"/>
          <w:color w:val="434343"/>
        </w:rPr>
        <w:t xml:space="preserve">ion. </w:t>
      </w:r>
      <w:r>
        <w:rPr>
          <w:rFonts w:ascii="Arial" w:cs="Arial" w:eastAsia="Arial" w:hAnsi="Arial"/>
          <w:sz w:val="18"/>
          <w:szCs w:val="18"/>
          <w:color w:val="2C2C2C"/>
        </w:rPr>
        <w:t>After the</w:t>
      </w:r>
      <w:r>
        <w:rPr>
          <w:rFonts w:ascii="Arial" w:cs="Arial" w:eastAsia="Arial" w:hAnsi="Arial"/>
          <w:sz w:val="18"/>
          <w:szCs w:val="18"/>
          <w:color w:val="434343"/>
        </w:rPr>
        <w:t xml:space="preserve"> </w:t>
      </w:r>
      <w:r>
        <w:rPr>
          <w:rFonts w:ascii="Arial" w:cs="Arial" w:eastAsia="Arial" w:hAnsi="Arial"/>
          <w:sz w:val="18"/>
          <w:szCs w:val="18"/>
          <w:color w:val="1C1C1C"/>
        </w:rPr>
        <w:t>Ter</w:t>
      </w:r>
      <w:r>
        <w:rPr>
          <w:rFonts w:ascii="Arial" w:cs="Arial" w:eastAsia="Arial" w:hAnsi="Arial"/>
          <w:sz w:val="18"/>
          <w:szCs w:val="18"/>
          <w:color w:val="434343"/>
        </w:rPr>
        <w:t xml:space="preserve">mination </w:t>
      </w:r>
      <w:r>
        <w:rPr>
          <w:rFonts w:ascii="Arial" w:cs="Arial" w:eastAsia="Arial" w:hAnsi="Arial"/>
          <w:sz w:val="18"/>
          <w:szCs w:val="18"/>
          <w:color w:val="1C1C1C"/>
        </w:rPr>
        <w:t>Date</w:t>
      </w:r>
      <w:r>
        <w:rPr>
          <w:rFonts w:ascii="Arial" w:cs="Arial" w:eastAsia="Arial" w:hAnsi="Arial"/>
          <w:sz w:val="18"/>
          <w:szCs w:val="18"/>
          <w:color w:val="646464"/>
        </w:rPr>
        <w:t>,</w:t>
      </w:r>
      <w:r>
        <w:rPr>
          <w:rFonts w:ascii="Arial" w:cs="Arial" w:eastAsia="Arial" w:hAnsi="Arial"/>
          <w:sz w:val="18"/>
          <w:szCs w:val="18"/>
          <w:color w:val="434343"/>
        </w:rPr>
        <w:t xml:space="preserve"> </w:t>
      </w:r>
      <w:r>
        <w:rPr>
          <w:rFonts w:ascii="Arial" w:cs="Arial" w:eastAsia="Arial" w:hAnsi="Arial"/>
          <w:sz w:val="18"/>
          <w:szCs w:val="18"/>
          <w:color w:val="2C2C2C"/>
        </w:rPr>
        <w:t xml:space="preserve">you </w:t>
      </w:r>
      <w:r>
        <w:rPr>
          <w:rFonts w:ascii="Arial" w:cs="Arial" w:eastAsia="Arial" w:hAnsi="Arial"/>
          <w:sz w:val="18"/>
          <w:szCs w:val="18"/>
          <w:color w:val="1C1C1C"/>
        </w:rPr>
        <w:t>shall have no</w:t>
      </w:r>
      <w:r>
        <w:rPr>
          <w:rFonts w:ascii="Arial" w:cs="Arial" w:eastAsia="Arial" w:hAnsi="Arial"/>
          <w:sz w:val="18"/>
          <w:szCs w:val="18"/>
          <w:color w:val="2C2C2C"/>
        </w:rPr>
        <w:t xml:space="preserve"> duties or </w:t>
      </w:r>
      <w:r>
        <w:rPr>
          <w:rFonts w:ascii="Arial" w:cs="Arial" w:eastAsia="Arial" w:hAnsi="Arial"/>
          <w:sz w:val="18"/>
          <w:szCs w:val="18"/>
          <w:color w:val="1C1C1C"/>
        </w:rPr>
        <w:t>responsibilities</w:t>
      </w:r>
      <w:r>
        <w:rPr>
          <w:rFonts w:ascii="Arial" w:cs="Arial" w:eastAsia="Arial" w:hAnsi="Arial"/>
          <w:sz w:val="18"/>
          <w:szCs w:val="18"/>
          <w:color w:val="2C2C2C"/>
        </w:rPr>
        <w:t xml:space="preserve"> that </w:t>
      </w:r>
      <w:r>
        <w:rPr>
          <w:rFonts w:ascii="Arial" w:cs="Arial" w:eastAsia="Arial" w:hAnsi="Arial"/>
          <w:sz w:val="18"/>
          <w:szCs w:val="18"/>
          <w:color w:val="1C1C1C"/>
        </w:rPr>
        <w:t>are inconsistent</w:t>
      </w:r>
      <w:r>
        <w:rPr>
          <w:rFonts w:ascii="Arial" w:cs="Arial" w:eastAsia="Arial" w:hAnsi="Arial"/>
          <w:sz w:val="18"/>
          <w:szCs w:val="18"/>
          <w:color w:val="2C2C2C"/>
        </w:rPr>
        <w:t xml:space="preserve"> with </w:t>
      </w:r>
      <w:r>
        <w:rPr>
          <w:rFonts w:ascii="Arial" w:cs="Arial" w:eastAsia="Arial" w:hAnsi="Arial"/>
          <w:sz w:val="18"/>
          <w:szCs w:val="18"/>
          <w:color w:val="1C1C1C"/>
        </w:rPr>
        <w:t>hav</w:t>
      </w:r>
      <w:r>
        <w:rPr>
          <w:rFonts w:ascii="Arial" w:cs="Arial" w:eastAsia="Arial" w:hAnsi="Arial"/>
          <w:sz w:val="18"/>
          <w:szCs w:val="18"/>
          <w:color w:val="434343"/>
        </w:rPr>
        <w:t>i</w:t>
      </w:r>
      <w:r>
        <w:rPr>
          <w:rFonts w:ascii="Arial" w:cs="Arial" w:eastAsia="Arial" w:hAnsi="Arial"/>
          <w:sz w:val="18"/>
          <w:szCs w:val="18"/>
          <w:color w:val="1C1C1C"/>
        </w:rPr>
        <w:t>ng</w:t>
      </w:r>
      <w:r>
        <w:rPr>
          <w:rFonts w:ascii="Arial" w:cs="Arial" w:eastAsia="Arial" w:hAnsi="Arial"/>
          <w:sz w:val="18"/>
          <w:szCs w:val="18"/>
          <w:color w:val="2C2C2C"/>
        </w:rPr>
        <w:t xml:space="preserve"> a </w:t>
      </w:r>
      <w:r>
        <w:rPr>
          <w:rFonts w:ascii="Arial" w:cs="Arial" w:eastAsia="Arial" w:hAnsi="Arial"/>
          <w:sz w:val="18"/>
          <w:szCs w:val="18"/>
          <w:color w:val="646464"/>
        </w:rPr>
        <w:t>“</w:t>
      </w:r>
      <w:r>
        <w:rPr>
          <w:rFonts w:ascii="Arial" w:cs="Arial" w:eastAsia="Arial" w:hAnsi="Arial"/>
          <w:sz w:val="18"/>
          <w:szCs w:val="18"/>
          <w:color w:val="2C2C2C"/>
        </w:rPr>
        <w:t xml:space="preserve">separation </w:t>
      </w:r>
      <w:r>
        <w:rPr>
          <w:rFonts w:ascii="Arial" w:cs="Arial" w:eastAsia="Arial" w:hAnsi="Arial"/>
          <w:sz w:val="18"/>
          <w:szCs w:val="18"/>
          <w:color w:val="1C1C1C"/>
        </w:rPr>
        <w:t>from</w:t>
      </w:r>
      <w:r>
        <w:rPr>
          <w:rFonts w:ascii="Arial" w:cs="Arial" w:eastAsia="Arial" w:hAnsi="Arial"/>
          <w:sz w:val="18"/>
          <w:szCs w:val="18"/>
          <w:color w:val="2C2C2C"/>
        </w:rPr>
        <w:t xml:space="preserve"> service</w:t>
      </w:r>
      <w:r>
        <w:rPr>
          <w:rFonts w:ascii="Arial" w:cs="Arial" w:eastAsia="Arial" w:hAnsi="Arial"/>
          <w:sz w:val="18"/>
          <w:szCs w:val="18"/>
          <w:color w:val="646464"/>
        </w:rPr>
        <w:t>”</w:t>
      </w:r>
      <w:r>
        <w:rPr>
          <w:rFonts w:ascii="Arial" w:cs="Arial" w:eastAsia="Arial" w:hAnsi="Arial"/>
          <w:sz w:val="18"/>
          <w:szCs w:val="18"/>
          <w:color w:val="2C2C2C"/>
        </w:rPr>
        <w:t xml:space="preserve"> (within the meaning of Section 409A) as of </w:t>
      </w:r>
      <w:r>
        <w:rPr>
          <w:rFonts w:ascii="Arial" w:cs="Arial" w:eastAsia="Arial" w:hAnsi="Arial"/>
          <w:sz w:val="18"/>
          <w:szCs w:val="18"/>
          <w:color w:val="1C1C1C"/>
        </w:rPr>
        <w:t>the Termination Date</w:t>
      </w:r>
      <w:r>
        <w:rPr>
          <w:rFonts w:ascii="Arial" w:cs="Arial" w:eastAsia="Arial" w:hAnsi="Arial"/>
          <w:sz w:val="18"/>
          <w:szCs w:val="18"/>
          <w:color w:val="2C2C2C"/>
        </w:rPr>
        <w:t xml:space="preserve"> and, </w:t>
      </w:r>
      <w:r>
        <w:rPr>
          <w:rFonts w:ascii="Arial" w:cs="Arial" w:eastAsia="Arial" w:hAnsi="Arial"/>
          <w:sz w:val="18"/>
          <w:szCs w:val="18"/>
          <w:color w:val="1C1C1C"/>
        </w:rPr>
        <w:t>notw</w:t>
      </w:r>
      <w:r>
        <w:rPr>
          <w:rFonts w:ascii="Arial" w:cs="Arial" w:eastAsia="Arial" w:hAnsi="Arial"/>
          <w:sz w:val="18"/>
          <w:szCs w:val="18"/>
          <w:color w:val="434343"/>
        </w:rPr>
        <w:t>ithstandi</w:t>
      </w:r>
      <w:r>
        <w:rPr>
          <w:rFonts w:ascii="Arial" w:cs="Arial" w:eastAsia="Arial" w:hAnsi="Arial"/>
          <w:sz w:val="18"/>
          <w:szCs w:val="18"/>
          <w:color w:val="1C1C1C"/>
        </w:rPr>
        <w:t>ng</w:t>
      </w:r>
      <w:r>
        <w:rPr>
          <w:rFonts w:ascii="Arial" w:cs="Arial" w:eastAsia="Arial" w:hAnsi="Arial"/>
          <w:sz w:val="18"/>
          <w:szCs w:val="18"/>
          <w:color w:val="2C2C2C"/>
        </w:rPr>
        <w:t xml:space="preserve"> anything </w:t>
      </w:r>
      <w:r>
        <w:rPr>
          <w:rFonts w:ascii="Arial" w:cs="Arial" w:eastAsia="Arial" w:hAnsi="Arial"/>
          <w:sz w:val="18"/>
          <w:szCs w:val="18"/>
          <w:color w:val="434343"/>
        </w:rPr>
        <w:t>in</w:t>
      </w:r>
      <w:r>
        <w:rPr>
          <w:rFonts w:ascii="Arial" w:cs="Arial" w:eastAsia="Arial" w:hAnsi="Arial"/>
          <w:sz w:val="18"/>
          <w:szCs w:val="18"/>
          <w:color w:val="2C2C2C"/>
        </w:rPr>
        <w:t xml:space="preserve"> </w:t>
      </w:r>
      <w:r>
        <w:rPr>
          <w:rFonts w:ascii="Arial" w:cs="Arial" w:eastAsia="Arial" w:hAnsi="Arial"/>
          <w:sz w:val="18"/>
          <w:szCs w:val="18"/>
          <w:color w:val="1C1C1C"/>
        </w:rPr>
        <w:t>the</w:t>
      </w:r>
      <w:r>
        <w:rPr>
          <w:rFonts w:ascii="Arial" w:cs="Arial" w:eastAsia="Arial" w:hAnsi="Arial"/>
          <w:sz w:val="18"/>
          <w:szCs w:val="18"/>
          <w:color w:val="2C2C2C"/>
        </w:rPr>
        <w:t xml:space="preserve"> Agreement </w:t>
      </w:r>
      <w:r>
        <w:rPr>
          <w:rFonts w:ascii="Arial" w:cs="Arial" w:eastAsia="Arial" w:hAnsi="Arial"/>
          <w:sz w:val="18"/>
          <w:szCs w:val="18"/>
          <w:color w:val="1C1C1C"/>
        </w:rPr>
        <w:t>to the</w:t>
      </w:r>
      <w:r>
        <w:rPr>
          <w:rFonts w:ascii="Arial" w:cs="Arial" w:eastAsia="Arial" w:hAnsi="Arial"/>
          <w:sz w:val="18"/>
          <w:szCs w:val="18"/>
          <w:color w:val="2C2C2C"/>
        </w:rPr>
        <w:t xml:space="preserve"> contrary, any distributions upon </w:t>
      </w:r>
      <w:r>
        <w:rPr>
          <w:rFonts w:ascii="Arial" w:cs="Arial" w:eastAsia="Arial" w:hAnsi="Arial"/>
          <w:sz w:val="18"/>
          <w:szCs w:val="18"/>
          <w:color w:val="1C1C1C"/>
        </w:rPr>
        <w:t>termination of</w:t>
      </w:r>
      <w:r>
        <w:rPr>
          <w:rFonts w:ascii="Arial" w:cs="Arial" w:eastAsia="Arial" w:hAnsi="Arial"/>
          <w:sz w:val="18"/>
          <w:szCs w:val="18"/>
          <w:color w:val="2C2C2C"/>
        </w:rPr>
        <w:t xml:space="preserve"> employment of nonqualified deferred compensation </w:t>
      </w:r>
      <w:r>
        <w:rPr>
          <w:rFonts w:ascii="Arial" w:cs="Arial" w:eastAsia="Arial" w:hAnsi="Arial"/>
          <w:sz w:val="18"/>
          <w:szCs w:val="18"/>
          <w:color w:val="1C1C1C"/>
        </w:rPr>
        <w:t>may</w:t>
      </w:r>
      <w:r>
        <w:rPr>
          <w:rFonts w:ascii="Arial" w:cs="Arial" w:eastAsia="Arial" w:hAnsi="Arial"/>
          <w:sz w:val="18"/>
          <w:szCs w:val="18"/>
          <w:color w:val="2C2C2C"/>
        </w:rPr>
        <w:t xml:space="preserve"> only be </w:t>
      </w:r>
      <w:r>
        <w:rPr>
          <w:rFonts w:ascii="Arial" w:cs="Arial" w:eastAsia="Arial" w:hAnsi="Arial"/>
          <w:sz w:val="18"/>
          <w:szCs w:val="18"/>
          <w:color w:val="1C1C1C"/>
        </w:rPr>
        <w:t>made upon</w:t>
      </w:r>
      <w:r>
        <w:rPr>
          <w:rFonts w:ascii="Arial" w:cs="Arial" w:eastAsia="Arial" w:hAnsi="Arial"/>
          <w:sz w:val="18"/>
          <w:szCs w:val="18"/>
          <w:color w:val="2C2C2C"/>
        </w:rPr>
        <w:t xml:space="preserve"> a </w:t>
      </w:r>
      <w:r>
        <w:rPr>
          <w:rFonts w:ascii="Arial" w:cs="Arial" w:eastAsia="Arial" w:hAnsi="Arial"/>
          <w:sz w:val="18"/>
          <w:szCs w:val="18"/>
          <w:color w:val="434343"/>
        </w:rPr>
        <w:t>“se</w:t>
      </w:r>
      <w:r>
        <w:rPr>
          <w:rFonts w:ascii="Arial" w:cs="Arial" w:eastAsia="Arial" w:hAnsi="Arial"/>
          <w:sz w:val="18"/>
          <w:szCs w:val="18"/>
          <w:color w:val="1C1C1C"/>
        </w:rPr>
        <w:t>paration</w:t>
      </w:r>
      <w:r>
        <w:rPr>
          <w:rFonts w:ascii="Arial" w:cs="Arial" w:eastAsia="Arial" w:hAnsi="Arial"/>
          <w:sz w:val="18"/>
          <w:szCs w:val="18"/>
          <w:color w:val="2C2C2C"/>
        </w:rPr>
        <w:t xml:space="preserve"> </w:t>
      </w:r>
      <w:r>
        <w:rPr>
          <w:rFonts w:ascii="Arial" w:cs="Arial" w:eastAsia="Arial" w:hAnsi="Arial"/>
          <w:sz w:val="18"/>
          <w:szCs w:val="18"/>
          <w:color w:val="1C1C1C"/>
        </w:rPr>
        <w:t xml:space="preserve">from </w:t>
      </w:r>
      <w:r>
        <w:rPr>
          <w:rFonts w:ascii="Arial" w:cs="Arial" w:eastAsia="Arial" w:hAnsi="Arial"/>
          <w:sz w:val="18"/>
          <w:szCs w:val="18"/>
          <w:color w:val="2C2C2C"/>
        </w:rPr>
        <w:t>service” (as</w:t>
      </w:r>
      <w:r>
        <w:rPr>
          <w:rFonts w:ascii="Arial" w:cs="Arial" w:eastAsia="Arial" w:hAnsi="Arial"/>
          <w:sz w:val="18"/>
          <w:szCs w:val="18"/>
          <w:color w:val="1C1C1C"/>
        </w:rPr>
        <w:t xml:space="preserve"> dete</w:t>
      </w:r>
      <w:r>
        <w:rPr>
          <w:rFonts w:ascii="Arial" w:cs="Arial" w:eastAsia="Arial" w:hAnsi="Arial"/>
          <w:sz w:val="18"/>
          <w:szCs w:val="18"/>
          <w:color w:val="434343"/>
        </w:rPr>
        <w:t>r</w:t>
      </w:r>
      <w:r>
        <w:rPr>
          <w:rFonts w:ascii="Arial" w:cs="Arial" w:eastAsia="Arial" w:hAnsi="Arial"/>
          <w:sz w:val="18"/>
          <w:szCs w:val="18"/>
          <w:color w:val="1C1C1C"/>
        </w:rPr>
        <w:t xml:space="preserve">mined under </w:t>
      </w:r>
      <w:r>
        <w:rPr>
          <w:rFonts w:ascii="Arial" w:cs="Arial" w:eastAsia="Arial" w:hAnsi="Arial"/>
          <w:sz w:val="18"/>
          <w:szCs w:val="18"/>
          <w:color w:val="2C2C2C"/>
        </w:rPr>
        <w:t>Section</w:t>
      </w:r>
      <w:r>
        <w:rPr>
          <w:rFonts w:ascii="Arial" w:cs="Arial" w:eastAsia="Arial" w:hAnsi="Arial"/>
          <w:sz w:val="18"/>
          <w:szCs w:val="18"/>
          <w:color w:val="1C1C1C"/>
        </w:rPr>
        <w:t xml:space="preserve"> </w:t>
      </w:r>
      <w:r>
        <w:rPr>
          <w:rFonts w:ascii="Arial" w:cs="Arial" w:eastAsia="Arial" w:hAnsi="Arial"/>
          <w:sz w:val="18"/>
          <w:szCs w:val="18"/>
          <w:color w:val="434343"/>
        </w:rPr>
        <w:t>409A)</w:t>
      </w:r>
      <w:r>
        <w:rPr>
          <w:rFonts w:ascii="Arial" w:cs="Arial" w:eastAsia="Arial" w:hAnsi="Arial"/>
          <w:sz w:val="18"/>
          <w:szCs w:val="18"/>
          <w:color w:val="1C1C1C"/>
        </w:rPr>
        <w:t xml:space="preserve"> </w:t>
      </w:r>
      <w:r>
        <w:rPr>
          <w:rFonts w:ascii="Arial" w:cs="Arial" w:eastAsia="Arial" w:hAnsi="Arial"/>
          <w:sz w:val="18"/>
          <w:szCs w:val="18"/>
          <w:color w:val="2C2C2C"/>
        </w:rPr>
        <w:t>and such</w:t>
      </w:r>
      <w:r>
        <w:rPr>
          <w:rFonts w:ascii="Arial" w:cs="Arial" w:eastAsia="Arial" w:hAnsi="Arial"/>
          <w:sz w:val="18"/>
          <w:szCs w:val="18"/>
          <w:color w:val="1C1C1C"/>
        </w:rPr>
        <w:t xml:space="preserve"> date </w:t>
      </w:r>
      <w:r>
        <w:rPr>
          <w:rFonts w:ascii="Arial" w:cs="Arial" w:eastAsia="Arial" w:hAnsi="Arial"/>
          <w:sz w:val="18"/>
          <w:szCs w:val="18"/>
          <w:color w:val="2C2C2C"/>
        </w:rPr>
        <w:t>shall be the Termination</w:t>
      </w:r>
      <w:r>
        <w:rPr>
          <w:rFonts w:ascii="Arial" w:cs="Arial" w:eastAsia="Arial" w:hAnsi="Arial"/>
          <w:sz w:val="18"/>
          <w:szCs w:val="18"/>
          <w:color w:val="1C1C1C"/>
        </w:rPr>
        <w:t xml:space="preserve"> Date for </w:t>
      </w:r>
      <w:r>
        <w:rPr>
          <w:rFonts w:ascii="Arial" w:cs="Arial" w:eastAsia="Arial" w:hAnsi="Arial"/>
          <w:sz w:val="18"/>
          <w:szCs w:val="18"/>
          <w:color w:val="2C2C2C"/>
        </w:rPr>
        <w:t>purposes of this</w:t>
      </w:r>
      <w:r>
        <w:rPr>
          <w:rFonts w:ascii="Arial" w:cs="Arial" w:eastAsia="Arial" w:hAnsi="Arial"/>
          <w:sz w:val="18"/>
          <w:szCs w:val="18"/>
          <w:color w:val="1C1C1C"/>
        </w:rPr>
        <w:t xml:space="preserve"> </w:t>
      </w:r>
      <w:r>
        <w:rPr>
          <w:rFonts w:ascii="Arial" w:cs="Arial" w:eastAsia="Arial" w:hAnsi="Arial"/>
          <w:sz w:val="18"/>
          <w:szCs w:val="18"/>
          <w:color w:val="2C2C2C"/>
        </w:rPr>
        <w:t xml:space="preserve">Agreement. </w:t>
      </w:r>
      <w:r>
        <w:rPr>
          <w:rFonts w:ascii="Arial" w:cs="Arial" w:eastAsia="Arial" w:hAnsi="Arial"/>
          <w:sz w:val="18"/>
          <w:szCs w:val="18"/>
          <w:color w:val="1C1C1C"/>
        </w:rPr>
        <w:t>Each</w:t>
      </w:r>
      <w:r>
        <w:rPr>
          <w:rFonts w:ascii="Arial" w:cs="Arial" w:eastAsia="Arial" w:hAnsi="Arial"/>
          <w:sz w:val="18"/>
          <w:szCs w:val="18"/>
          <w:color w:val="2C2C2C"/>
        </w:rPr>
        <w:t xml:space="preserve"> payment under this Agreement or otherwise shall be </w:t>
      </w:r>
      <w:r>
        <w:rPr>
          <w:rFonts w:ascii="Arial" w:cs="Arial" w:eastAsia="Arial" w:hAnsi="Arial"/>
          <w:sz w:val="18"/>
          <w:szCs w:val="18"/>
          <w:color w:val="1C1C1C"/>
        </w:rPr>
        <w:t>treated</w:t>
      </w:r>
      <w:r>
        <w:rPr>
          <w:rFonts w:ascii="Arial" w:cs="Arial" w:eastAsia="Arial" w:hAnsi="Arial"/>
          <w:sz w:val="18"/>
          <w:szCs w:val="18"/>
          <w:color w:val="2C2C2C"/>
        </w:rPr>
        <w:t xml:space="preserve"> as a separate payment for purposes of Section 409A. </w:t>
      </w:r>
      <w:r>
        <w:rPr>
          <w:rFonts w:ascii="Arial" w:cs="Arial" w:eastAsia="Arial" w:hAnsi="Arial"/>
          <w:sz w:val="18"/>
          <w:szCs w:val="18"/>
          <w:color w:val="1C1C1C"/>
        </w:rPr>
        <w:t>In no</w:t>
      </w:r>
      <w:r>
        <w:rPr>
          <w:rFonts w:ascii="Arial" w:cs="Arial" w:eastAsia="Arial" w:hAnsi="Arial"/>
          <w:sz w:val="18"/>
          <w:szCs w:val="18"/>
          <w:color w:val="2C2C2C"/>
        </w:rPr>
        <w:t xml:space="preserve"> event </w:t>
      </w:r>
      <w:r>
        <w:rPr>
          <w:rFonts w:ascii="Arial" w:cs="Arial" w:eastAsia="Arial" w:hAnsi="Arial"/>
          <w:sz w:val="18"/>
          <w:szCs w:val="18"/>
          <w:color w:val="1C1C1C"/>
        </w:rPr>
        <w:t>may</w:t>
      </w:r>
      <w:r>
        <w:rPr>
          <w:rFonts w:ascii="Arial" w:cs="Arial" w:eastAsia="Arial" w:hAnsi="Arial"/>
          <w:sz w:val="18"/>
          <w:szCs w:val="18"/>
          <w:color w:val="2C2C2C"/>
        </w:rPr>
        <w:t xml:space="preserve"> you, directly or </w:t>
      </w:r>
      <w:r>
        <w:rPr>
          <w:rFonts w:ascii="Arial" w:cs="Arial" w:eastAsia="Arial" w:hAnsi="Arial"/>
          <w:sz w:val="18"/>
          <w:szCs w:val="18"/>
          <w:color w:val="1C1C1C"/>
        </w:rPr>
        <w:t>indirectly</w:t>
      </w:r>
      <w:r>
        <w:rPr>
          <w:rFonts w:ascii="Arial" w:cs="Arial" w:eastAsia="Arial" w:hAnsi="Arial"/>
          <w:sz w:val="18"/>
          <w:szCs w:val="18"/>
          <w:color w:val="434343"/>
        </w:rPr>
        <w:t>,</w:t>
      </w:r>
      <w:r>
        <w:rPr>
          <w:rFonts w:ascii="Arial" w:cs="Arial" w:eastAsia="Arial" w:hAnsi="Arial"/>
          <w:sz w:val="18"/>
          <w:szCs w:val="18"/>
          <w:color w:val="2C2C2C"/>
        </w:rPr>
        <w:t xml:space="preserve"> </w:t>
      </w:r>
      <w:r>
        <w:rPr>
          <w:rFonts w:ascii="Arial" w:cs="Arial" w:eastAsia="Arial" w:hAnsi="Arial"/>
          <w:sz w:val="18"/>
          <w:szCs w:val="18"/>
          <w:color w:val="1C1C1C"/>
        </w:rPr>
        <w:t>designate the</w:t>
      </w:r>
      <w:r>
        <w:rPr>
          <w:rFonts w:ascii="Arial" w:cs="Arial" w:eastAsia="Arial" w:hAnsi="Arial"/>
          <w:sz w:val="18"/>
          <w:szCs w:val="18"/>
          <w:color w:val="2C2C2C"/>
        </w:rPr>
        <w:t xml:space="preserve"> calendar year of any </w:t>
      </w:r>
      <w:r>
        <w:rPr>
          <w:rFonts w:ascii="Arial" w:cs="Arial" w:eastAsia="Arial" w:hAnsi="Arial"/>
          <w:sz w:val="18"/>
          <w:szCs w:val="18"/>
          <w:color w:val="1C1C1C"/>
        </w:rPr>
        <w:t>payment to be</w:t>
      </w:r>
      <w:r>
        <w:rPr>
          <w:rFonts w:ascii="Arial" w:cs="Arial" w:eastAsia="Arial" w:hAnsi="Arial"/>
          <w:sz w:val="18"/>
          <w:szCs w:val="18"/>
          <w:color w:val="2C2C2C"/>
        </w:rPr>
        <w:t xml:space="preserve"> made under </w:t>
      </w:r>
      <w:r>
        <w:rPr>
          <w:rFonts w:ascii="Arial" w:cs="Arial" w:eastAsia="Arial" w:hAnsi="Arial"/>
          <w:sz w:val="18"/>
          <w:szCs w:val="18"/>
          <w:color w:val="1C1C1C"/>
        </w:rPr>
        <w:t>th</w:t>
      </w:r>
      <w:r>
        <w:rPr>
          <w:rFonts w:ascii="Arial" w:cs="Arial" w:eastAsia="Arial" w:hAnsi="Arial"/>
          <w:sz w:val="18"/>
          <w:szCs w:val="18"/>
          <w:color w:val="434343"/>
        </w:rPr>
        <w:t>is</w:t>
      </w:r>
      <w:r>
        <w:rPr>
          <w:rFonts w:ascii="Arial" w:cs="Arial" w:eastAsia="Arial" w:hAnsi="Arial"/>
          <w:sz w:val="18"/>
          <w:szCs w:val="18"/>
          <w:color w:val="2C2C2C"/>
        </w:rPr>
        <w:t xml:space="preserve"> Agreement which </w:t>
      </w:r>
      <w:r>
        <w:rPr>
          <w:rFonts w:ascii="Arial" w:cs="Arial" w:eastAsia="Arial" w:hAnsi="Arial"/>
          <w:sz w:val="18"/>
          <w:szCs w:val="18"/>
          <w:color w:val="141414"/>
        </w:rPr>
        <w:t>constitutes a</w:t>
      </w:r>
      <w:r>
        <w:rPr>
          <w:rFonts w:ascii="Arial" w:cs="Arial" w:eastAsia="Arial" w:hAnsi="Arial"/>
          <w:sz w:val="18"/>
          <w:szCs w:val="18"/>
          <w:color w:val="2C2C2C"/>
        </w:rPr>
        <w:t xml:space="preserve"> </w:t>
      </w:r>
      <w:r>
        <w:rPr>
          <w:rFonts w:ascii="Arial" w:cs="Arial" w:eastAsia="Arial" w:hAnsi="Arial"/>
          <w:sz w:val="18"/>
          <w:szCs w:val="18"/>
          <w:color w:val="292929"/>
        </w:rPr>
        <w:t>“nonqualified</w:t>
      </w:r>
      <w:r>
        <w:rPr>
          <w:rFonts w:ascii="Arial" w:cs="Arial" w:eastAsia="Arial" w:hAnsi="Arial"/>
          <w:sz w:val="18"/>
          <w:szCs w:val="18"/>
          <w:color w:val="2C2C2C"/>
        </w:rPr>
        <w:t xml:space="preserve"> </w:t>
      </w:r>
      <w:r>
        <w:rPr>
          <w:rFonts w:ascii="Arial" w:cs="Arial" w:eastAsia="Arial" w:hAnsi="Arial"/>
          <w:sz w:val="18"/>
          <w:szCs w:val="18"/>
          <w:color w:val="141414"/>
        </w:rPr>
        <w:t>deferral of compensation</w:t>
      </w:r>
      <w:r>
        <w:rPr>
          <w:rFonts w:ascii="Arial" w:cs="Arial" w:eastAsia="Arial" w:hAnsi="Arial"/>
          <w:sz w:val="18"/>
          <w:szCs w:val="18"/>
          <w:color w:val="393939"/>
        </w:rPr>
        <w:t>”</w:t>
      </w:r>
      <w:r>
        <w:rPr>
          <w:rFonts w:ascii="Arial" w:cs="Arial" w:eastAsia="Arial" w:hAnsi="Arial"/>
          <w:sz w:val="18"/>
          <w:szCs w:val="18"/>
          <w:color w:val="2C2C2C"/>
        </w:rPr>
        <w:t xml:space="preserve"> </w:t>
      </w:r>
      <w:r>
        <w:rPr>
          <w:rFonts w:ascii="Arial" w:cs="Arial" w:eastAsia="Arial" w:hAnsi="Arial"/>
          <w:sz w:val="18"/>
          <w:szCs w:val="18"/>
          <w:color w:val="141414"/>
        </w:rPr>
        <w:t>(within the meaning of Section 409A) and to the</w:t>
      </w:r>
      <w:r>
        <w:rPr>
          <w:rFonts w:ascii="Arial" w:cs="Arial" w:eastAsia="Arial" w:hAnsi="Arial"/>
          <w:sz w:val="18"/>
          <w:szCs w:val="18"/>
          <w:color w:val="2C2C2C"/>
        </w:rPr>
        <w:t xml:space="preserve"> </w:t>
      </w:r>
      <w:r>
        <w:rPr>
          <w:rFonts w:ascii="Arial" w:cs="Arial" w:eastAsia="Arial" w:hAnsi="Arial"/>
          <w:sz w:val="18"/>
          <w:szCs w:val="18"/>
          <w:color w:val="141414"/>
        </w:rPr>
        <w:t>extent an amount is payable within a time period</w:t>
      </w:r>
      <w:r>
        <w:rPr>
          <w:rFonts w:ascii="Arial" w:cs="Arial" w:eastAsia="Arial" w:hAnsi="Arial"/>
          <w:sz w:val="18"/>
          <w:szCs w:val="18"/>
          <w:color w:val="393939"/>
        </w:rPr>
        <w:t>,</w:t>
      </w:r>
      <w:r>
        <w:rPr>
          <w:rFonts w:ascii="Arial" w:cs="Arial" w:eastAsia="Arial" w:hAnsi="Arial"/>
          <w:sz w:val="18"/>
          <w:szCs w:val="18"/>
          <w:color w:val="141414"/>
        </w:rPr>
        <w:t xml:space="preserve"> the time during which such amount is paid shall be in the discretion of the Company. To the extent that any reimbursements are taxable to you, any such reimbursement payment due to you shall be paid to you on or before the last day of the calendar year following the taxable year in which the related expense was incurred</w:t>
      </w:r>
      <w:r>
        <w:rPr>
          <w:rFonts w:ascii="Arial" w:cs="Arial" w:eastAsia="Arial" w:hAnsi="Arial"/>
          <w:sz w:val="18"/>
          <w:szCs w:val="18"/>
          <w:color w:val="393939"/>
        </w:rPr>
        <w:t>.</w:t>
      </w:r>
      <w:r>
        <w:rPr>
          <w:rFonts w:ascii="Arial" w:cs="Arial" w:eastAsia="Arial" w:hAnsi="Arial"/>
          <w:sz w:val="18"/>
          <w:szCs w:val="18"/>
          <w:color w:val="141414"/>
        </w:rPr>
        <w:t xml:space="preserve"> The reimbursements are not subject to liquidation or exchange for another benefit and the amount of such reimbursements that you receive in one taxable year shall not affect the amount of such reimbursements that you receive in any other taxable year. </w:t>
      </w:r>
      <w:r>
        <w:rPr>
          <w:rFonts w:ascii="Arial" w:cs="Arial" w:eastAsia="Arial" w:hAnsi="Arial"/>
          <w:sz w:val="18"/>
          <w:szCs w:val="18"/>
          <w:color w:val="000000"/>
        </w:rPr>
        <w:t>Notwithstanding any provision to the contrary in this Agreement, if you are deemed at the time of</w:t>
      </w:r>
      <w:r>
        <w:rPr>
          <w:rFonts w:ascii="Arial" w:cs="Arial" w:eastAsia="Arial" w:hAnsi="Arial"/>
          <w:sz w:val="18"/>
          <w:szCs w:val="18"/>
          <w:color w:val="141414"/>
        </w:rPr>
        <w:t xml:space="preserve"> </w:t>
      </w:r>
      <w:r>
        <w:rPr>
          <w:rFonts w:ascii="Arial" w:cs="Arial" w:eastAsia="Arial" w:hAnsi="Arial"/>
          <w:sz w:val="18"/>
          <w:szCs w:val="18"/>
          <w:color w:val="000000"/>
        </w:rPr>
        <w:t>your separation from service to be a “specified employee” for purposes of Section 409A(a)(2)(B)(i) of the Code, to the extent delayed commencement of any portion of the termination benefits to which you are entitled under this Agreement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3" w:right="999" w:bottom="1440" w:gutter="0" w:footer="0" w:header="0"/>
        </w:sectPr>
      </w:pPr>
    </w:p>
    <w:bookmarkStart w:id="67" w:name="page68"/>
    <w:bookmarkEnd w:id="67"/>
    <w:p>
      <w:pPr>
        <w:jc w:val="both"/>
        <w:spacing w:after="0" w:line="244" w:lineRule="auto"/>
        <w:rPr>
          <w:sz w:val="20"/>
          <w:szCs w:val="20"/>
          <w:color w:val="auto"/>
        </w:rPr>
      </w:pPr>
      <w:r>
        <w:rPr>
          <w:rFonts w:ascii="Arial" w:cs="Arial" w:eastAsia="Arial" w:hAnsi="Arial"/>
          <w:sz w:val="18"/>
          <w:szCs w:val="18"/>
          <w:color w:val="auto"/>
        </w:rPr>
        <w:t>required in order to avoid a prohibited distribution under Section 409A(a)(2)(B)(i) of the Code, such portion of your termination benefits shall not be provided to you prior to the earlier of (A) the expiration of the six-month period measured from the date of your “separation from service” with the Company or (B) the date of your death; upon the earlier of such dates, all payments deferred pursuant to this sentence shall be paid in a lump sum to you, and any remaining payments due under the Agreement shall be paid as otherwise provided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Assignment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41414"/>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w:t>
      </w:r>
      <w:r>
        <w:rPr>
          <w:rFonts w:ascii="Arial" w:cs="Arial" w:eastAsia="Arial" w:hAnsi="Arial"/>
          <w:sz w:val="18"/>
          <w:szCs w:val="18"/>
          <w:color w:val="393939"/>
        </w:rPr>
        <w:t>.</w:t>
      </w:r>
      <w:r>
        <w:rPr>
          <w:rFonts w:ascii="Arial" w:cs="Arial" w:eastAsia="Arial" w:hAnsi="Arial"/>
          <w:sz w:val="18"/>
          <w:szCs w:val="18"/>
          <w:color w:val="141414"/>
        </w:rPr>
        <w:t xml:space="preserve"> You may not assign your rights or obligations to another </w:t>
      </w:r>
      <w:r>
        <w:rPr>
          <w:rFonts w:ascii="Arial" w:cs="Arial" w:eastAsia="Arial" w:hAnsi="Arial"/>
          <w:sz w:val="18"/>
          <w:szCs w:val="18"/>
          <w:color w:val="292929"/>
        </w:rPr>
        <w:t>entity</w:t>
      </w:r>
      <w:r>
        <w:rPr>
          <w:rFonts w:ascii="Arial" w:cs="Arial" w:eastAsia="Arial" w:hAnsi="Arial"/>
          <w:sz w:val="18"/>
          <w:szCs w:val="18"/>
          <w:color w:val="141414"/>
        </w:rPr>
        <w:t xml:space="preserve"> or person.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Indemnification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41414"/>
        </w:rPr>
        <w:t>You shall be entitled to indemnification to the maximum e</w:t>
      </w:r>
      <w:r>
        <w:rPr>
          <w:rFonts w:ascii="Arial" w:cs="Arial" w:eastAsia="Arial" w:hAnsi="Arial"/>
          <w:sz w:val="18"/>
          <w:szCs w:val="18"/>
          <w:color w:val="393939"/>
        </w:rPr>
        <w:t>x</w:t>
      </w:r>
      <w:r>
        <w:rPr>
          <w:rFonts w:ascii="Arial" w:cs="Arial" w:eastAsia="Arial" w:hAnsi="Arial"/>
          <w:sz w:val="18"/>
          <w:szCs w:val="18"/>
          <w:color w:val="141414"/>
        </w:rPr>
        <w:t>tent permitted by applicable law and the Company’s Articles of Incorporation or Bylaws, as applicable, subject to any applicable obligations therein (including, without limitation, any repayment obligations pursuant to Section 7.03 of the Bylaws) . At all times during your employment</w:t>
      </w:r>
      <w:r>
        <w:rPr>
          <w:rFonts w:ascii="Arial" w:cs="Arial" w:eastAsia="Arial" w:hAnsi="Arial"/>
          <w:sz w:val="18"/>
          <w:szCs w:val="18"/>
          <w:color w:val="393939"/>
        </w:rPr>
        <w:t>,</w:t>
      </w:r>
      <w:r>
        <w:rPr>
          <w:rFonts w:ascii="Arial" w:cs="Arial" w:eastAsia="Arial" w:hAnsi="Arial"/>
          <w:sz w:val="18"/>
          <w:szCs w:val="18"/>
          <w:color w:val="141414"/>
        </w:rPr>
        <w:t xml:space="preserve"> the Company shall maintain in effect a directors and officers liability insurance policy with you as a covered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Whistleblower Protections and Trade Secrets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41414"/>
        </w:rPr>
        <w:t>Notwithstanding any provision of this Agreement to the contrary, nothing prohibits you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 you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a trade secret that is made in a complaint or other document filed in a lawsuit or other proceeding, if such filing is made under seal; and (iii) if you file a lawsuit for retaliation by an employer for reporting a suspected violation of law, you may disclose the trade secret to your attorney and use the trade secret information in the court proceeding, if you file any document containing the trade secret under seal; and do not disclose the trade secret, except pursuant to court order.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Policy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acknowledge and agree that you will take all action necessary or appropriate to comply with the Company’s applicable clawback or compensation recovery policy (including, without limitation, entering into any further agreements, amendments or policies necessary or appropriate to implement and/or enforce such policy).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Miscellaneous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72727"/>
        </w:rPr>
        <w:t xml:space="preserve">This Agreement </w:t>
      </w:r>
      <w:r>
        <w:rPr>
          <w:rFonts w:ascii="Arial" w:cs="Arial" w:eastAsia="Arial" w:hAnsi="Arial"/>
          <w:sz w:val="18"/>
          <w:szCs w:val="18"/>
          <w:color w:val="151515"/>
        </w:rPr>
        <w:t>fo</w:t>
      </w:r>
      <w:r>
        <w:rPr>
          <w:rFonts w:ascii="Arial" w:cs="Arial" w:eastAsia="Arial" w:hAnsi="Arial"/>
          <w:sz w:val="18"/>
          <w:szCs w:val="18"/>
          <w:color w:val="3C3C3C"/>
        </w:rPr>
        <w:t>rms</w:t>
      </w:r>
      <w:r>
        <w:rPr>
          <w:rFonts w:ascii="Arial" w:cs="Arial" w:eastAsia="Arial" w:hAnsi="Arial"/>
          <w:sz w:val="18"/>
          <w:szCs w:val="18"/>
          <w:color w:val="272727"/>
        </w:rPr>
        <w:t xml:space="preserve"> </w:t>
      </w:r>
      <w:r>
        <w:rPr>
          <w:rFonts w:ascii="Arial" w:cs="Arial" w:eastAsia="Arial" w:hAnsi="Arial"/>
          <w:sz w:val="18"/>
          <w:szCs w:val="18"/>
          <w:color w:val="151515"/>
        </w:rPr>
        <w:t>the</w:t>
      </w:r>
      <w:r>
        <w:rPr>
          <w:rFonts w:ascii="Arial" w:cs="Arial" w:eastAsia="Arial" w:hAnsi="Arial"/>
          <w:sz w:val="18"/>
          <w:szCs w:val="18"/>
          <w:color w:val="272727"/>
        </w:rPr>
        <w:t xml:space="preserve"> complete and exclusive statement of your employment agreement with </w:t>
      </w:r>
      <w:r>
        <w:rPr>
          <w:rFonts w:ascii="Arial" w:cs="Arial" w:eastAsia="Arial" w:hAnsi="Arial"/>
          <w:sz w:val="18"/>
          <w:szCs w:val="18"/>
          <w:color w:val="151515"/>
        </w:rPr>
        <w:t>the Company. It</w:t>
      </w:r>
      <w:r>
        <w:rPr>
          <w:rFonts w:ascii="Arial" w:cs="Arial" w:eastAsia="Arial" w:hAnsi="Arial"/>
          <w:sz w:val="18"/>
          <w:szCs w:val="18"/>
          <w:color w:val="272727"/>
        </w:rPr>
        <w:t xml:space="preserve"> </w:t>
      </w:r>
      <w:r>
        <w:rPr>
          <w:rFonts w:ascii="Arial" w:cs="Arial" w:eastAsia="Arial" w:hAnsi="Arial"/>
          <w:sz w:val="18"/>
          <w:szCs w:val="18"/>
          <w:color w:val="151515"/>
        </w:rPr>
        <w:t xml:space="preserve">supersedes any other agreements or promises made to you by anyone, whether oral or written, including that certain Offer Letter entered into by and between you and the Company, dated as of September 20, 2021. </w:t>
      </w:r>
      <w:r>
        <w:rPr>
          <w:rFonts w:ascii="Arial" w:cs="Arial" w:eastAsia="Arial" w:hAnsi="Arial"/>
          <w:sz w:val="18"/>
          <w:szCs w:val="18"/>
          <w:color w:val="272727"/>
        </w:rPr>
        <w:t>Changes</w:t>
      </w:r>
      <w:r>
        <w:rPr>
          <w:rFonts w:ascii="Arial" w:cs="Arial" w:eastAsia="Arial" w:hAnsi="Arial"/>
          <w:sz w:val="18"/>
          <w:szCs w:val="18"/>
          <w:color w:val="151515"/>
        </w:rPr>
        <w:t xml:space="preserve"> in </w:t>
      </w:r>
      <w:r>
        <w:rPr>
          <w:rFonts w:ascii="Arial" w:cs="Arial" w:eastAsia="Arial" w:hAnsi="Arial"/>
          <w:sz w:val="18"/>
          <w:szCs w:val="18"/>
          <w:color w:val="3C3C3C"/>
        </w:rPr>
        <w:t>your</w:t>
      </w:r>
      <w:r>
        <w:rPr>
          <w:rFonts w:ascii="Arial" w:cs="Arial" w:eastAsia="Arial" w:hAnsi="Arial"/>
          <w:sz w:val="18"/>
          <w:szCs w:val="18"/>
          <w:color w:val="151515"/>
        </w:rPr>
        <w:t xml:space="preserve"> </w:t>
      </w:r>
      <w:r>
        <w:rPr>
          <w:rFonts w:ascii="Arial" w:cs="Arial" w:eastAsia="Arial" w:hAnsi="Arial"/>
          <w:sz w:val="18"/>
          <w:szCs w:val="18"/>
          <w:color w:val="272727"/>
        </w:rPr>
        <w:t>employment</w:t>
      </w:r>
      <w:r>
        <w:rPr>
          <w:rFonts w:ascii="Arial" w:cs="Arial" w:eastAsia="Arial" w:hAnsi="Arial"/>
          <w:sz w:val="18"/>
          <w:szCs w:val="18"/>
          <w:color w:val="151515"/>
        </w:rPr>
        <w:t xml:space="preserve"> </w:t>
      </w:r>
      <w:r>
        <w:rPr>
          <w:rFonts w:ascii="Arial" w:cs="Arial" w:eastAsia="Arial" w:hAnsi="Arial"/>
          <w:sz w:val="18"/>
          <w:szCs w:val="18"/>
          <w:color w:val="272727"/>
        </w:rPr>
        <w:t xml:space="preserve">terms, other </w:t>
      </w:r>
      <w:r>
        <w:rPr>
          <w:rFonts w:ascii="Arial" w:cs="Arial" w:eastAsia="Arial" w:hAnsi="Arial"/>
          <w:sz w:val="18"/>
          <w:szCs w:val="18"/>
          <w:color w:val="151515"/>
        </w:rPr>
        <w:t>than those</w:t>
      </w:r>
      <w:r>
        <w:rPr>
          <w:rFonts w:ascii="Arial" w:cs="Arial" w:eastAsia="Arial" w:hAnsi="Arial"/>
          <w:sz w:val="18"/>
          <w:szCs w:val="18"/>
          <w:color w:val="272727"/>
        </w:rPr>
        <w:t xml:space="preserve"> changes </w:t>
      </w:r>
      <w:r>
        <w:rPr>
          <w:rFonts w:ascii="Arial" w:cs="Arial" w:eastAsia="Arial" w:hAnsi="Arial"/>
          <w:sz w:val="18"/>
          <w:szCs w:val="18"/>
          <w:color w:val="151515"/>
        </w:rPr>
        <w:t>expressly reserved to</w:t>
      </w:r>
      <w:r>
        <w:rPr>
          <w:rFonts w:ascii="Arial" w:cs="Arial" w:eastAsia="Arial" w:hAnsi="Arial"/>
          <w:sz w:val="18"/>
          <w:szCs w:val="18"/>
          <w:color w:val="272727"/>
        </w:rPr>
        <w:t xml:space="preserve"> the Company’ </w:t>
      </w:r>
      <w:r>
        <w:rPr>
          <w:rFonts w:ascii="Arial" w:cs="Arial" w:eastAsia="Arial" w:hAnsi="Arial"/>
          <w:sz w:val="18"/>
          <w:szCs w:val="18"/>
          <w:color w:val="151515"/>
        </w:rPr>
        <w:t>discretion in</w:t>
      </w:r>
      <w:r>
        <w:rPr>
          <w:rFonts w:ascii="Arial" w:cs="Arial" w:eastAsia="Arial" w:hAnsi="Arial"/>
          <w:sz w:val="18"/>
          <w:szCs w:val="18"/>
          <w:color w:val="272727"/>
        </w:rPr>
        <w:t xml:space="preserve"> this Agreement, require a written </w:t>
      </w:r>
      <w:r>
        <w:rPr>
          <w:rFonts w:ascii="Arial" w:cs="Arial" w:eastAsia="Arial" w:hAnsi="Arial"/>
          <w:sz w:val="18"/>
          <w:szCs w:val="18"/>
          <w:color w:val="151515"/>
        </w:rPr>
        <w:t xml:space="preserve">modification </w:t>
      </w:r>
      <w:r>
        <w:rPr>
          <w:rFonts w:ascii="Arial" w:cs="Arial" w:eastAsia="Arial" w:hAnsi="Arial"/>
          <w:sz w:val="18"/>
          <w:szCs w:val="18"/>
          <w:color w:val="272727"/>
        </w:rPr>
        <w:t>approved by</w:t>
      </w:r>
      <w:r>
        <w:rPr>
          <w:rFonts w:ascii="Arial" w:cs="Arial" w:eastAsia="Arial" w:hAnsi="Arial"/>
          <w:sz w:val="18"/>
          <w:szCs w:val="18"/>
          <w:color w:val="151515"/>
        </w:rPr>
        <w:t xml:space="preserve"> the Company</w:t>
      </w:r>
      <w:r>
        <w:rPr>
          <w:rFonts w:ascii="Arial" w:cs="Arial" w:eastAsia="Arial" w:hAnsi="Arial"/>
          <w:sz w:val="18"/>
          <w:szCs w:val="18"/>
          <w:color w:val="3C3C3C"/>
        </w:rPr>
        <w:t>.</w:t>
      </w:r>
      <w:r>
        <w:rPr>
          <w:rFonts w:ascii="Arial" w:cs="Arial" w:eastAsia="Arial" w:hAnsi="Arial"/>
          <w:sz w:val="18"/>
          <w:szCs w:val="18"/>
          <w:color w:val="151515"/>
        </w:rPr>
        <w:t xml:space="preserve"> </w:t>
      </w:r>
      <w:r>
        <w:rPr>
          <w:rFonts w:ascii="Arial" w:cs="Arial" w:eastAsia="Arial" w:hAnsi="Arial"/>
          <w:sz w:val="18"/>
          <w:szCs w:val="18"/>
          <w:color w:val="272727"/>
        </w:rPr>
        <w:t>This Agreement will bind</w:t>
      </w:r>
      <w:r>
        <w:rPr>
          <w:rFonts w:ascii="Arial" w:cs="Arial" w:eastAsia="Arial" w:hAnsi="Arial"/>
          <w:sz w:val="18"/>
          <w:szCs w:val="18"/>
          <w:color w:val="151515"/>
        </w:rPr>
        <w:t xml:space="preserve"> the he</w:t>
      </w:r>
      <w:r>
        <w:rPr>
          <w:rFonts w:ascii="Arial" w:cs="Arial" w:eastAsia="Arial" w:hAnsi="Arial"/>
          <w:sz w:val="18"/>
          <w:szCs w:val="18"/>
          <w:color w:val="3C3C3C"/>
        </w:rPr>
        <w:t>irs,</w:t>
      </w:r>
      <w:r>
        <w:rPr>
          <w:rFonts w:ascii="Arial" w:cs="Arial" w:eastAsia="Arial" w:hAnsi="Arial"/>
          <w:sz w:val="18"/>
          <w:szCs w:val="18"/>
          <w:color w:val="151515"/>
        </w:rPr>
        <w:t xml:space="preserve"> </w:t>
      </w:r>
      <w:r>
        <w:rPr>
          <w:rFonts w:ascii="Arial" w:cs="Arial" w:eastAsia="Arial" w:hAnsi="Arial"/>
          <w:sz w:val="18"/>
          <w:szCs w:val="18"/>
          <w:color w:val="272727"/>
        </w:rPr>
        <w:t>personal representatives</w:t>
      </w:r>
      <w:r>
        <w:rPr>
          <w:rFonts w:ascii="Arial" w:cs="Arial" w:eastAsia="Arial" w:hAnsi="Arial"/>
          <w:sz w:val="18"/>
          <w:szCs w:val="18"/>
          <w:color w:val="525252"/>
        </w:rPr>
        <w:t>,</w:t>
      </w:r>
      <w:r>
        <w:rPr>
          <w:rFonts w:ascii="Arial" w:cs="Arial" w:eastAsia="Arial" w:hAnsi="Arial"/>
          <w:sz w:val="18"/>
          <w:szCs w:val="18"/>
          <w:color w:val="151515"/>
        </w:rPr>
        <w:t xml:space="preserve"> </w:t>
      </w:r>
      <w:r>
        <w:rPr>
          <w:rFonts w:ascii="Arial" w:cs="Arial" w:eastAsia="Arial" w:hAnsi="Arial"/>
          <w:sz w:val="18"/>
          <w:szCs w:val="18"/>
          <w:color w:val="272727"/>
        </w:rPr>
        <w:t>successors and</w:t>
      </w:r>
      <w:r>
        <w:rPr>
          <w:rFonts w:ascii="Arial" w:cs="Arial" w:eastAsia="Arial" w:hAnsi="Arial"/>
          <w:sz w:val="18"/>
          <w:szCs w:val="18"/>
          <w:color w:val="151515"/>
        </w:rPr>
        <w:t xml:space="preserve"> </w:t>
      </w:r>
      <w:r>
        <w:rPr>
          <w:rFonts w:ascii="Arial" w:cs="Arial" w:eastAsia="Arial" w:hAnsi="Arial"/>
          <w:sz w:val="18"/>
          <w:szCs w:val="18"/>
          <w:color w:val="272727"/>
        </w:rPr>
        <w:t xml:space="preserve">assigns of both you and </w:t>
      </w:r>
      <w:r>
        <w:rPr>
          <w:rFonts w:ascii="Arial" w:cs="Arial" w:eastAsia="Arial" w:hAnsi="Arial"/>
          <w:sz w:val="18"/>
          <w:szCs w:val="18"/>
          <w:color w:val="151515"/>
        </w:rPr>
        <w:t>the Company</w:t>
      </w:r>
      <w:r>
        <w:rPr>
          <w:rFonts w:ascii="Arial" w:cs="Arial" w:eastAsia="Arial" w:hAnsi="Arial"/>
          <w:sz w:val="18"/>
          <w:szCs w:val="18"/>
          <w:color w:val="3C3C3C"/>
        </w:rPr>
        <w:t>,</w:t>
      </w:r>
      <w:r>
        <w:rPr>
          <w:rFonts w:ascii="Arial" w:cs="Arial" w:eastAsia="Arial" w:hAnsi="Arial"/>
          <w:sz w:val="18"/>
          <w:szCs w:val="18"/>
          <w:color w:val="272727"/>
        </w:rPr>
        <w:t xml:space="preserve"> and inure to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579755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23" w:right="999" w:bottom="1440" w:gutter="0" w:footer="0" w:header="0"/>
        </w:sectPr>
      </w:pPr>
    </w:p>
    <w:bookmarkStart w:id="68" w:name="page69"/>
    <w:bookmarkEnd w:id="68"/>
    <w:p>
      <w:pPr>
        <w:jc w:val="both"/>
        <w:spacing w:after="0" w:line="235" w:lineRule="auto"/>
        <w:rPr>
          <w:sz w:val="20"/>
          <w:szCs w:val="20"/>
          <w:color w:val="auto"/>
        </w:rPr>
      </w:pPr>
      <w:r>
        <w:rPr>
          <w:rFonts w:ascii="Arial" w:cs="Arial" w:eastAsia="Arial" w:hAnsi="Arial"/>
          <w:sz w:val="17"/>
          <w:szCs w:val="17"/>
          <w:color w:val="282B31"/>
        </w:rPr>
        <w:t>both you and the Company</w:t>
      </w:r>
      <w:r>
        <w:rPr>
          <w:rFonts w:ascii="Arial" w:cs="Arial" w:eastAsia="Arial" w:hAnsi="Arial"/>
          <w:sz w:val="17"/>
          <w:szCs w:val="17"/>
          <w:color w:val="4F4F52"/>
        </w:rPr>
        <w:t>,</w:t>
      </w:r>
      <w:r>
        <w:rPr>
          <w:rFonts w:ascii="Arial" w:cs="Arial" w:eastAsia="Arial" w:hAnsi="Arial"/>
          <w:sz w:val="17"/>
          <w:szCs w:val="17"/>
          <w:color w:val="282B31"/>
        </w:rPr>
        <w:t xml:space="preserve"> their heirs, successors and assigns</w:t>
      </w:r>
      <w:r>
        <w:rPr>
          <w:rFonts w:ascii="Arial" w:cs="Arial" w:eastAsia="Arial" w:hAnsi="Arial"/>
          <w:sz w:val="17"/>
          <w:szCs w:val="17"/>
          <w:color w:val="666769"/>
        </w:rPr>
        <w:t>.</w:t>
      </w:r>
      <w:r>
        <w:rPr>
          <w:rFonts w:ascii="Arial" w:cs="Arial" w:eastAsia="Arial" w:hAnsi="Arial"/>
          <w:sz w:val="17"/>
          <w:szCs w:val="17"/>
          <w:color w:val="282B31"/>
        </w:rPr>
        <w:t xml:space="preserve"> If any provision of this Agreement is determined to be invalid or unenforceable</w:t>
      </w:r>
      <w:r>
        <w:rPr>
          <w:rFonts w:ascii="Arial" w:cs="Arial" w:eastAsia="Arial" w:hAnsi="Arial"/>
          <w:sz w:val="17"/>
          <w:szCs w:val="17"/>
          <w:color w:val="4F4F52"/>
        </w:rPr>
        <w:t>,</w:t>
      </w:r>
      <w:r>
        <w:rPr>
          <w:rFonts w:ascii="Arial" w:cs="Arial" w:eastAsia="Arial" w:hAnsi="Arial"/>
          <w:sz w:val="17"/>
          <w:szCs w:val="17"/>
          <w:color w:val="282B31"/>
        </w:rPr>
        <w:t xml:space="preserve"> in whole or in part, this determination shall not affect any other provision of this Agreement and the provision in question shall be modified so as to be rendered enforceable in a manner consisten</w:t>
      </w:r>
      <w:r>
        <w:rPr>
          <w:rFonts w:ascii="Arial" w:cs="Arial" w:eastAsia="Arial" w:hAnsi="Arial"/>
          <w:sz w:val="17"/>
          <w:szCs w:val="17"/>
          <w:color w:val="4F4F52"/>
        </w:rPr>
        <w:t>t</w:t>
      </w:r>
      <w:r>
        <w:rPr>
          <w:rFonts w:ascii="Arial" w:cs="Arial" w:eastAsia="Arial" w:hAnsi="Arial"/>
          <w:sz w:val="17"/>
          <w:szCs w:val="17"/>
          <w:color w:val="282B31"/>
        </w:rPr>
        <w:t xml:space="preserve"> with the intent of the parties insofar as possibte under applicable law. This Agreement shall be construed and enforced in accordance with the laws of the State of Delaware without regard to conflicts of law principles</w:t>
      </w:r>
      <w:r>
        <w:rPr>
          <w:rFonts w:ascii="Arial" w:cs="Arial" w:eastAsia="Arial" w:hAnsi="Arial"/>
          <w:sz w:val="17"/>
          <w:szCs w:val="17"/>
          <w:color w:val="4F4F52"/>
        </w:rPr>
        <w:t>.</w:t>
      </w:r>
      <w:r>
        <w:rPr>
          <w:rFonts w:ascii="Arial" w:cs="Arial" w:eastAsia="Arial" w:hAnsi="Arial"/>
          <w:sz w:val="17"/>
          <w:szCs w:val="17"/>
          <w:color w:val="282B31"/>
        </w:rPr>
        <w:t xml:space="preserve"> Any dispute or controversy arising out of, relating to, or concerning any interpretation, performance or breach of this Agreement will be settled by arbitration to be he</w:t>
      </w:r>
      <w:r>
        <w:rPr>
          <w:rFonts w:ascii="Arial" w:cs="Arial" w:eastAsia="Arial" w:hAnsi="Arial"/>
          <w:sz w:val="17"/>
          <w:szCs w:val="17"/>
          <w:color w:val="0C1824"/>
        </w:rPr>
        <w:t>l</w:t>
      </w:r>
      <w:r>
        <w:rPr>
          <w:rFonts w:ascii="Arial" w:cs="Arial" w:eastAsia="Arial" w:hAnsi="Arial"/>
          <w:sz w:val="17"/>
          <w:szCs w:val="17"/>
          <w:color w:val="282B31"/>
        </w:rPr>
        <w:t>d in Boston, Massachusetts, administered by the American Arbitration Associat</w:t>
      </w:r>
      <w:r>
        <w:rPr>
          <w:rFonts w:ascii="Arial" w:cs="Arial" w:eastAsia="Arial" w:hAnsi="Arial"/>
          <w:sz w:val="17"/>
          <w:szCs w:val="17"/>
          <w:color w:val="0C1824"/>
        </w:rPr>
        <w:t>i</w:t>
      </w:r>
      <w:r>
        <w:rPr>
          <w:rFonts w:ascii="Arial" w:cs="Arial" w:eastAsia="Arial" w:hAnsi="Arial"/>
          <w:sz w:val="17"/>
          <w:szCs w:val="17"/>
          <w:color w:val="282B31"/>
        </w:rPr>
        <w:t>on under its employment arbitration rules and mediation procedures and judgment upon the award rendered by the arbitrator(s) may be entered in any court having jurisdiction thereof</w:t>
      </w:r>
      <w:r>
        <w:rPr>
          <w:rFonts w:ascii="Arial" w:cs="Arial" w:eastAsia="Arial" w:hAnsi="Arial"/>
          <w:sz w:val="17"/>
          <w:szCs w:val="17"/>
          <w:color w:val="4F4F52"/>
        </w:rPr>
        <w:t>.</w:t>
      </w:r>
      <w:r>
        <w:rPr>
          <w:rFonts w:ascii="Arial" w:cs="Arial" w:eastAsia="Arial" w:hAnsi="Arial"/>
          <w:sz w:val="17"/>
          <w:szCs w:val="17"/>
          <w:color w:val="282B31"/>
        </w:rPr>
        <w:t xml:space="preserve"> Each party will pay their own costs and expenses; provided, however, the arbitrator may award the costs and attorneys' fees of the other party to the extent permitted by applicable law. Any ambiguity in this Agreement shall not be construed against either party as the drafter</w:t>
      </w:r>
      <w:r>
        <w:rPr>
          <w:rFonts w:ascii="Arial" w:cs="Arial" w:eastAsia="Arial" w:hAnsi="Arial"/>
          <w:sz w:val="17"/>
          <w:szCs w:val="17"/>
          <w:color w:val="4F4F52"/>
        </w:rPr>
        <w:t>.</w:t>
      </w:r>
      <w:r>
        <w:rPr>
          <w:rFonts w:ascii="Arial" w:cs="Arial" w:eastAsia="Arial" w:hAnsi="Arial"/>
          <w:sz w:val="17"/>
          <w:szCs w:val="17"/>
          <w:color w:val="282B31"/>
        </w:rPr>
        <w:t xml:space="preserve"> Any waiver of a breach of this Agreement, or rights hereunder, shall be in writing and shall not be deemed to be a waiver of any successive breach or rights hereunder</w:t>
      </w:r>
      <w:r>
        <w:rPr>
          <w:rFonts w:ascii="Arial" w:cs="Arial" w:eastAsia="Arial" w:hAnsi="Arial"/>
          <w:sz w:val="17"/>
          <w:szCs w:val="17"/>
          <w:color w:val="666769"/>
        </w:rPr>
        <w:t>.</w:t>
      </w:r>
      <w:r>
        <w:rPr>
          <w:rFonts w:ascii="Arial" w:cs="Arial" w:eastAsia="Arial" w:hAnsi="Arial"/>
          <w:sz w:val="17"/>
          <w:szCs w:val="17"/>
          <w:color w:val="282B31"/>
        </w:rPr>
        <w:t xml:space="preserve"> This Agreement may be executed in counterparts which shall be deemed to be part of one original, and facsimile or pdf signatures shall be equivalent to original signatures</w:t>
      </w:r>
      <w:r>
        <w:rPr>
          <w:rFonts w:ascii="Arial" w:cs="Arial" w:eastAsia="Arial" w:hAnsi="Arial"/>
          <w:sz w:val="17"/>
          <w:szCs w:val="17"/>
          <w:color w:val="4F4F52"/>
        </w:rPr>
        <w:t>.</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B31"/>
        </w:rPr>
        <w:t>I am very pleased to offer you continued employment in this position at the Company on and following the IPO under the terms described above</w:t>
      </w:r>
      <w:r>
        <w:rPr>
          <w:rFonts w:ascii="Arial" w:cs="Arial" w:eastAsia="Arial" w:hAnsi="Arial"/>
          <w:sz w:val="17"/>
          <w:szCs w:val="17"/>
          <w:color w:val="4F4F52"/>
        </w:rPr>
        <w:t>.</w:t>
      </w:r>
      <w:r>
        <w:rPr>
          <w:rFonts w:ascii="Arial" w:cs="Arial" w:eastAsia="Arial" w:hAnsi="Arial"/>
          <w:sz w:val="17"/>
          <w:szCs w:val="17"/>
          <w:color w:val="282B31"/>
        </w:rPr>
        <w:t xml:space="preserve"> I would be happy to discuss any questions that you may have about the terms of the offer. It will be a pleasure to continue to work with you and create the future of the Company on and following the IPO</w:t>
      </w:r>
      <w:r>
        <w:rPr>
          <w:rFonts w:ascii="Arial" w:cs="Arial" w:eastAsia="Arial" w:hAnsi="Arial"/>
          <w:sz w:val="17"/>
          <w:szCs w:val="17"/>
          <w:color w:val="666769"/>
        </w:rPr>
        <w: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282B31"/>
        </w:rPr>
        <w:t>Sincerely</w:t>
      </w:r>
      <w:r>
        <w:rPr>
          <w:rFonts w:ascii="Arial" w:cs="Arial" w:eastAsia="Arial" w:hAnsi="Arial"/>
          <w:sz w:val="17"/>
          <w:szCs w:val="17"/>
          <w:color w:val="4F4F52"/>
        </w:rPr>
        <w: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Thomas N. Trkla</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40"/>
        </w:trPr>
        <w:tc>
          <w:tcPr>
            <w:tcW w:w="4860" w:type="dxa"/>
            <w:vAlign w:val="bottom"/>
          </w:tcPr>
          <w:p>
            <w:pPr>
              <w:spacing w:after="0"/>
              <w:rPr>
                <w:sz w:val="20"/>
                <w:szCs w:val="20"/>
                <w:color w:val="auto"/>
              </w:rPr>
            </w:pPr>
            <w:r>
              <w:rPr>
                <w:rFonts w:ascii="Arial" w:cs="Arial" w:eastAsia="Arial" w:hAnsi="Arial"/>
                <w:sz w:val="18"/>
                <w:szCs w:val="18"/>
                <w:b w:val="1"/>
                <w:bCs w:val="1"/>
                <w:color w:val="auto"/>
              </w:rPr>
              <w:t>Thomas N. Trkla</w:t>
            </w:r>
          </w:p>
        </w:tc>
        <w:tc>
          <w:tcPr>
            <w:tcW w:w="240" w:type="dxa"/>
            <w:vAlign w:val="bottom"/>
          </w:tcPr>
          <w:p>
            <w:pPr>
              <w:spacing w:after="0"/>
              <w:rPr>
                <w:sz w:val="20"/>
                <w:szCs w:val="20"/>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282B31"/>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82B31"/>
        </w:rPr>
        <w:t>Understood and Accepted: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/s/ Ericka L. Ayles</w:t>
            </w:r>
          </w:p>
        </w:tc>
        <w:tc>
          <w:tcPr>
            <w:tcW w:w="4820" w:type="dxa"/>
            <w:vAlign w:val="bottom"/>
          </w:tcPr>
          <w:p>
            <w:pPr>
              <w:spacing w:after="0"/>
              <w:rPr>
                <w:sz w:val="20"/>
                <w:szCs w:val="20"/>
                <w:color w:val="auto"/>
              </w:rPr>
            </w:pPr>
            <w:r>
              <w:rPr>
                <w:rFonts w:ascii="Arial" w:cs="Arial" w:eastAsia="Arial" w:hAnsi="Arial"/>
                <w:sz w:val="18"/>
                <w:szCs w:val="18"/>
                <w:b w:val="1"/>
                <w:bCs w:val="1"/>
                <w:color w:val="auto"/>
              </w:rPr>
              <w:t>April 20, 2026</w:t>
            </w:r>
          </w:p>
        </w:tc>
      </w:tr>
      <w:tr>
        <w:trPr>
          <w:trHeight w:val="228"/>
        </w:trPr>
        <w:tc>
          <w:tcPr>
            <w:tcW w:w="2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282B31"/>
              </w:rPr>
              <w:t>Ericka L. Ayles</w:t>
            </w:r>
          </w:p>
        </w:tc>
        <w:tc>
          <w:tcPr>
            <w:tcW w:w="24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282B31"/>
              </w:rPr>
              <w:t>Date</w:t>
            </w:r>
          </w:p>
        </w:tc>
      </w:tr>
      <w:tr>
        <w:trPr>
          <w:trHeight w:val="1122"/>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06" w:right="999" w:bottom="1440" w:gutter="0" w:footer="0" w:header="0"/>
        </w:sectPr>
      </w:pPr>
    </w:p>
    <w:bookmarkStart w:id="69" w:name="page70"/>
    <w:bookmarkEnd w:id="69"/>
    <w:p>
      <w:pPr>
        <w:ind w:left="8820"/>
        <w:spacing w:after="0"/>
        <w:rPr>
          <w:sz w:val="20"/>
          <w:szCs w:val="20"/>
          <w:color w:val="auto"/>
        </w:rPr>
      </w:pPr>
      <w:r>
        <w:rPr>
          <w:rFonts w:ascii="Arial" w:cs="Arial" w:eastAsia="Arial" w:hAnsi="Arial"/>
          <w:sz w:val="17"/>
          <w:szCs w:val="17"/>
          <w:b w:val="1"/>
          <w:bCs w:val="1"/>
          <w:color w:val="auto"/>
        </w:rPr>
        <w:t>Exhibit 10.13</w:t>
      </w:r>
    </w:p>
    <w:p>
      <w:pPr>
        <w:spacing w:after="0" w:line="209" w:lineRule="exact"/>
        <w:rPr>
          <w:sz w:val="20"/>
          <w:szCs w:val="20"/>
          <w:color w:val="auto"/>
        </w:rPr>
      </w:pPr>
    </w:p>
    <w:p>
      <w:pPr>
        <w:ind w:left="6720"/>
        <w:spacing w:after="0"/>
        <w:rPr>
          <w:sz w:val="20"/>
          <w:szCs w:val="20"/>
          <w:color w:val="auto"/>
        </w:rPr>
      </w:pPr>
      <w:r>
        <w:rPr>
          <w:rFonts w:ascii="Arial" w:cs="Arial" w:eastAsia="Arial" w:hAnsi="Arial"/>
          <w:sz w:val="18"/>
          <w:szCs w:val="18"/>
          <w:u w:val="single" w:color="auto"/>
          <w:color w:val="auto"/>
        </w:rPr>
        <w:t>PRIVILEGED AND CONFIDENTIAL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23,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Kurt M. Zernich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2301 Eagle Parkway</w:t>
      </w:r>
    </w:p>
    <w:p>
      <w:pPr>
        <w:spacing w:after="0"/>
        <w:rPr>
          <w:sz w:val="20"/>
          <w:szCs w:val="20"/>
          <w:color w:val="auto"/>
        </w:rPr>
      </w:pPr>
      <w:r>
        <w:rPr>
          <w:rFonts w:ascii="Arial" w:cs="Arial" w:eastAsia="Arial" w:hAnsi="Arial"/>
          <w:sz w:val="18"/>
          <w:szCs w:val="18"/>
          <w:color w:val="auto"/>
        </w:rPr>
        <w:t>Fort Worth, TX 76177</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Amended and Restated Employment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Kurt</w:t>
      </w:r>
      <w:r>
        <w:rPr>
          <w:rFonts w:ascii="Arial" w:cs="Arial" w:eastAsia="Arial" w:hAnsi="Arial"/>
          <w:sz w:val="18"/>
          <w:szCs w:val="18"/>
          <w:color w:val="515152"/>
        </w:rPr>
        <w: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amended and restated letter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sets forth the terms of your continued employment at Yesway, Inc. (“</w:t>
      </w:r>
      <w:r>
        <w:rPr>
          <w:rFonts w:ascii="Arial" w:cs="Arial" w:eastAsia="Arial" w:hAnsi="Arial"/>
          <w:sz w:val="18"/>
          <w:szCs w:val="18"/>
          <w:b w:val="1"/>
          <w:bCs w:val="1"/>
          <w:color w:val="auto"/>
        </w:rPr>
        <w:t>Yesway</w:t>
      </w:r>
      <w:r>
        <w:rPr>
          <w:rFonts w:ascii="Arial" w:cs="Arial" w:eastAsia="Arial" w:hAnsi="Arial"/>
          <w:sz w:val="18"/>
          <w:szCs w:val="18"/>
          <w:color w:val="auto"/>
        </w:rPr>
        <w:t>,” together with any subsidiaries and affiliates as may employ you from time to time, the “</w:t>
      </w:r>
      <w:r>
        <w:rPr>
          <w:rFonts w:ascii="Arial" w:cs="Arial" w:eastAsia="Arial" w:hAnsi="Arial"/>
          <w:sz w:val="18"/>
          <w:szCs w:val="18"/>
          <w:b w:val="1"/>
          <w:bCs w:val="1"/>
          <w:color w:val="auto"/>
        </w:rPr>
        <w:t>Company</w:t>
      </w:r>
      <w:r>
        <w:rPr>
          <w:rFonts w:ascii="Arial" w:cs="Arial" w:eastAsia="Arial" w:hAnsi="Arial"/>
          <w:sz w:val="18"/>
          <w:szCs w:val="18"/>
          <w:color w:val="auto"/>
        </w:rPr>
        <w:t>”). This Agreement will be effective on the closing date of the initial public offering of Yesway (the “</w:t>
      </w:r>
      <w:r>
        <w:rPr>
          <w:rFonts w:ascii="Arial" w:cs="Arial" w:eastAsia="Arial" w:hAnsi="Arial"/>
          <w:sz w:val="18"/>
          <w:szCs w:val="18"/>
          <w:b w:val="1"/>
          <w:bCs w:val="1"/>
          <w:color w:val="auto"/>
        </w:rPr>
        <w:t>IPO</w:t>
      </w:r>
      <w:r>
        <w:rPr>
          <w:rFonts w:ascii="Arial" w:cs="Arial" w:eastAsia="Arial" w:hAnsi="Arial"/>
          <w:sz w:val="18"/>
          <w:szCs w:val="18"/>
          <w:color w:val="auto"/>
        </w:rPr>
        <w:t>”) or such other date mutually agreed upon by the parties.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Duties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333334"/>
        </w:rPr>
        <w:t xml:space="preserve">You </w:t>
      </w:r>
      <w:r>
        <w:rPr>
          <w:rFonts w:ascii="Arial" w:cs="Arial" w:eastAsia="Arial" w:hAnsi="Arial"/>
          <w:sz w:val="18"/>
          <w:szCs w:val="18"/>
          <w:color w:val="000000"/>
        </w:rPr>
        <w:t>will be employed in the</w:t>
      </w:r>
      <w:r>
        <w:rPr>
          <w:rFonts w:ascii="Arial" w:cs="Arial" w:eastAsia="Arial" w:hAnsi="Arial"/>
          <w:sz w:val="18"/>
          <w:szCs w:val="18"/>
          <w:color w:val="333334"/>
        </w:rPr>
        <w:t xml:space="preserve"> role </w:t>
      </w:r>
      <w:r>
        <w:rPr>
          <w:rFonts w:ascii="Arial" w:cs="Arial" w:eastAsia="Arial" w:hAnsi="Arial"/>
          <w:sz w:val="18"/>
          <w:szCs w:val="18"/>
          <w:color w:val="000000"/>
        </w:rPr>
        <w:t>of General Counsel and Secretary of Yesway and</w:t>
      </w:r>
      <w:r>
        <w:rPr>
          <w:rFonts w:ascii="Arial" w:cs="Arial" w:eastAsia="Arial" w:hAnsi="Arial"/>
          <w:sz w:val="18"/>
          <w:szCs w:val="18"/>
          <w:color w:val="333334"/>
        </w:rPr>
        <w:t xml:space="preserve"> you </w:t>
      </w:r>
      <w:r>
        <w:rPr>
          <w:rFonts w:ascii="Arial" w:cs="Arial" w:eastAsia="Arial" w:hAnsi="Arial"/>
          <w:sz w:val="18"/>
          <w:szCs w:val="18"/>
          <w:color w:val="000000"/>
        </w:rPr>
        <w:t>shall</w:t>
      </w:r>
      <w:r>
        <w:rPr>
          <w:rFonts w:ascii="Arial" w:cs="Arial" w:eastAsia="Arial" w:hAnsi="Arial"/>
          <w:sz w:val="18"/>
          <w:szCs w:val="18"/>
          <w:color w:val="333334"/>
        </w:rPr>
        <w:t xml:space="preserve"> perform </w:t>
      </w:r>
      <w:r>
        <w:rPr>
          <w:rFonts w:ascii="Arial" w:cs="Arial" w:eastAsia="Arial" w:hAnsi="Arial"/>
          <w:sz w:val="18"/>
          <w:szCs w:val="18"/>
          <w:color w:val="000000"/>
        </w:rPr>
        <w:t>the duties of</w:t>
      </w:r>
      <w:r>
        <w:rPr>
          <w:rFonts w:ascii="Arial" w:cs="Arial" w:eastAsia="Arial" w:hAnsi="Arial"/>
          <w:sz w:val="18"/>
          <w:szCs w:val="18"/>
          <w:color w:val="333334"/>
        </w:rPr>
        <w:t xml:space="preserve"> this </w:t>
      </w:r>
      <w:r>
        <w:rPr>
          <w:rFonts w:ascii="Arial" w:cs="Arial" w:eastAsia="Arial" w:hAnsi="Arial"/>
          <w:sz w:val="18"/>
          <w:szCs w:val="18"/>
          <w:color w:val="000000"/>
        </w:rPr>
        <w:t>ro</w:t>
      </w:r>
      <w:r>
        <w:rPr>
          <w:rFonts w:ascii="Arial" w:cs="Arial" w:eastAsia="Arial" w:hAnsi="Arial"/>
          <w:sz w:val="18"/>
          <w:szCs w:val="18"/>
          <w:color w:val="515152"/>
        </w:rPr>
        <w:t>l</w:t>
      </w:r>
      <w:r>
        <w:rPr>
          <w:rFonts w:ascii="Arial" w:cs="Arial" w:eastAsia="Arial" w:hAnsi="Arial"/>
          <w:sz w:val="18"/>
          <w:szCs w:val="18"/>
          <w:color w:val="333334"/>
        </w:rPr>
        <w:t xml:space="preserve">e </w:t>
      </w:r>
      <w:r>
        <w:rPr>
          <w:rFonts w:ascii="Arial" w:cs="Arial" w:eastAsia="Arial" w:hAnsi="Arial"/>
          <w:sz w:val="18"/>
          <w:szCs w:val="18"/>
          <w:color w:val="000000"/>
        </w:rPr>
        <w:t>as</w:t>
      </w:r>
      <w:r>
        <w:rPr>
          <w:rFonts w:ascii="Arial" w:cs="Arial" w:eastAsia="Arial" w:hAnsi="Arial"/>
          <w:sz w:val="18"/>
          <w:szCs w:val="18"/>
          <w:color w:val="333334"/>
        </w:rPr>
        <w:t xml:space="preserve"> </w:t>
      </w:r>
      <w:r>
        <w:rPr>
          <w:rFonts w:ascii="Arial" w:cs="Arial" w:eastAsia="Arial" w:hAnsi="Arial"/>
          <w:sz w:val="18"/>
          <w:szCs w:val="18"/>
          <w:color w:val="000000"/>
        </w:rPr>
        <w:t xml:space="preserve">are </w:t>
      </w:r>
      <w:r>
        <w:rPr>
          <w:rFonts w:ascii="Arial" w:cs="Arial" w:eastAsia="Arial" w:hAnsi="Arial"/>
          <w:sz w:val="18"/>
          <w:szCs w:val="18"/>
          <w:color w:val="333334"/>
        </w:rPr>
        <w:t>customary</w:t>
      </w:r>
      <w:r>
        <w:rPr>
          <w:rFonts w:ascii="Arial" w:cs="Arial" w:eastAsia="Arial" w:hAnsi="Arial"/>
          <w:sz w:val="18"/>
          <w:szCs w:val="18"/>
          <w:color w:val="000000"/>
        </w:rPr>
        <w:t xml:space="preserve"> and as may be required by the Company. You </w:t>
      </w:r>
      <w:r>
        <w:rPr>
          <w:rFonts w:ascii="Arial" w:cs="Arial" w:eastAsia="Arial" w:hAnsi="Arial"/>
          <w:sz w:val="18"/>
          <w:szCs w:val="18"/>
          <w:color w:val="333334"/>
        </w:rPr>
        <w:t>will</w:t>
      </w:r>
      <w:r>
        <w:rPr>
          <w:rFonts w:ascii="Arial" w:cs="Arial" w:eastAsia="Arial" w:hAnsi="Arial"/>
          <w:sz w:val="18"/>
          <w:szCs w:val="18"/>
          <w:color w:val="000000"/>
        </w:rPr>
        <w:t xml:space="preserve"> report to the CEO of Yesway.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You shall have such duties and responsibilities, commensurate with your </w:t>
      </w:r>
      <w:r>
        <w:rPr>
          <w:rFonts w:ascii="Arial" w:cs="Arial" w:eastAsia="Arial" w:hAnsi="Arial"/>
          <w:sz w:val="18"/>
          <w:szCs w:val="18"/>
          <w:color w:val="333334"/>
        </w:rPr>
        <w:t>position</w:t>
      </w:r>
      <w:r>
        <w:rPr>
          <w:rFonts w:ascii="Arial" w:cs="Arial" w:eastAsia="Arial" w:hAnsi="Arial"/>
          <w:sz w:val="18"/>
          <w:szCs w:val="18"/>
          <w:color w:val="515152"/>
        </w:rPr>
        <w:t>,</w:t>
      </w:r>
      <w:r>
        <w:rPr>
          <w:rFonts w:ascii="Arial" w:cs="Arial" w:eastAsia="Arial" w:hAnsi="Arial"/>
          <w:sz w:val="18"/>
          <w:szCs w:val="18"/>
          <w:color w:val="auto"/>
        </w:rPr>
        <w:t xml:space="preserve"> as </w:t>
      </w:r>
      <w:r>
        <w:rPr>
          <w:rFonts w:ascii="Arial" w:cs="Arial" w:eastAsia="Arial" w:hAnsi="Arial"/>
          <w:sz w:val="18"/>
          <w:szCs w:val="18"/>
          <w:color w:val="333334"/>
        </w:rPr>
        <w:t>may</w:t>
      </w:r>
      <w:r>
        <w:rPr>
          <w:rFonts w:ascii="Arial" w:cs="Arial" w:eastAsia="Arial" w:hAnsi="Arial"/>
          <w:sz w:val="18"/>
          <w:szCs w:val="18"/>
          <w:color w:val="auto"/>
        </w:rPr>
        <w:t xml:space="preserve"> be reasonably assigned to you from time to time by the CEO</w:t>
      </w:r>
      <w:r>
        <w:rPr>
          <w:rFonts w:ascii="Arial" w:cs="Arial" w:eastAsia="Arial" w:hAnsi="Arial"/>
          <w:sz w:val="18"/>
          <w:szCs w:val="18"/>
          <w:color w:val="515152"/>
        </w:rPr>
        <w:t>,</w:t>
      </w:r>
      <w:r>
        <w:rPr>
          <w:rFonts w:ascii="Arial" w:cs="Arial" w:eastAsia="Arial" w:hAnsi="Arial"/>
          <w:sz w:val="18"/>
          <w:szCs w:val="18"/>
          <w:color w:val="auto"/>
        </w:rPr>
        <w:t xml:space="preserve"> </w:t>
      </w:r>
      <w:r>
        <w:rPr>
          <w:rFonts w:ascii="Arial" w:cs="Arial" w:eastAsia="Arial" w:hAnsi="Arial"/>
          <w:sz w:val="18"/>
          <w:szCs w:val="18"/>
          <w:color w:val="333334"/>
        </w:rPr>
        <w:t>or wh</w:t>
      </w:r>
      <w:r>
        <w:rPr>
          <w:rFonts w:ascii="Arial" w:cs="Arial" w:eastAsia="Arial" w:hAnsi="Arial"/>
          <w:sz w:val="18"/>
          <w:szCs w:val="18"/>
          <w:color w:val="515152"/>
        </w:rPr>
        <w:t>i</w:t>
      </w:r>
      <w:r>
        <w:rPr>
          <w:rFonts w:ascii="Arial" w:cs="Arial" w:eastAsia="Arial" w:hAnsi="Arial"/>
          <w:sz w:val="18"/>
          <w:szCs w:val="18"/>
          <w:color w:val="333334"/>
        </w:rPr>
        <w:t>ch</w:t>
      </w:r>
      <w:r>
        <w:rPr>
          <w:rFonts w:ascii="Arial" w:cs="Arial" w:eastAsia="Arial" w:hAnsi="Arial"/>
          <w:sz w:val="18"/>
          <w:szCs w:val="18"/>
          <w:color w:val="auto"/>
        </w:rPr>
        <w:t xml:space="preserve"> are </w:t>
      </w:r>
      <w:r>
        <w:rPr>
          <w:rFonts w:ascii="Arial" w:cs="Arial" w:eastAsia="Arial" w:hAnsi="Arial"/>
          <w:sz w:val="18"/>
          <w:szCs w:val="18"/>
          <w:color w:val="333334"/>
        </w:rPr>
        <w:t>in</w:t>
      </w:r>
      <w:r>
        <w:rPr>
          <w:rFonts w:ascii="Arial" w:cs="Arial" w:eastAsia="Arial" w:hAnsi="Arial"/>
          <w:sz w:val="18"/>
          <w:szCs w:val="18"/>
          <w:color w:val="auto"/>
        </w:rPr>
        <w:t xml:space="preserve"> accordance </w:t>
      </w:r>
      <w:r>
        <w:rPr>
          <w:rFonts w:ascii="Arial" w:cs="Arial" w:eastAsia="Arial" w:hAnsi="Arial"/>
          <w:sz w:val="18"/>
          <w:szCs w:val="18"/>
          <w:color w:val="333334"/>
        </w:rPr>
        <w:t>with the</w:t>
      </w:r>
      <w:r>
        <w:rPr>
          <w:rFonts w:ascii="Arial" w:cs="Arial" w:eastAsia="Arial" w:hAnsi="Arial"/>
          <w:sz w:val="18"/>
          <w:szCs w:val="18"/>
          <w:color w:val="auto"/>
        </w:rPr>
        <w:t xml:space="preserve"> delegations of authority set out by </w:t>
      </w:r>
      <w:r>
        <w:rPr>
          <w:rFonts w:ascii="Arial" w:cs="Arial" w:eastAsia="Arial" w:hAnsi="Arial"/>
          <w:sz w:val="18"/>
          <w:szCs w:val="18"/>
          <w:color w:val="333334"/>
        </w:rPr>
        <w:t>the</w:t>
      </w:r>
      <w:r>
        <w:rPr>
          <w:rFonts w:ascii="Arial" w:cs="Arial" w:eastAsia="Arial" w:hAnsi="Arial"/>
          <w:sz w:val="18"/>
          <w:szCs w:val="18"/>
          <w:color w:val="auto"/>
        </w:rPr>
        <w:t xml:space="preserve"> Board. You will use your best efforts to promote the interests and condition (financial and otherwise)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At-Will Employment Relationship</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You may terminate </w:t>
      </w:r>
      <w:r>
        <w:rPr>
          <w:rFonts w:ascii="Arial" w:cs="Arial" w:eastAsia="Arial" w:hAnsi="Arial"/>
          <w:sz w:val="18"/>
          <w:szCs w:val="18"/>
          <w:color w:val="333334"/>
        </w:rPr>
        <w:t>your</w:t>
      </w:r>
      <w:r>
        <w:rPr>
          <w:rFonts w:ascii="Arial" w:cs="Arial" w:eastAsia="Arial" w:hAnsi="Arial"/>
          <w:sz w:val="18"/>
          <w:szCs w:val="18"/>
          <w:color w:val="auto"/>
        </w:rPr>
        <w:t xml:space="preserve"> employment with the Company at any time and </w:t>
      </w:r>
      <w:r>
        <w:rPr>
          <w:rFonts w:ascii="Arial" w:cs="Arial" w:eastAsia="Arial" w:hAnsi="Arial"/>
          <w:sz w:val="18"/>
          <w:szCs w:val="18"/>
          <w:color w:val="333334"/>
        </w:rPr>
        <w:t>for</w:t>
      </w:r>
      <w:r>
        <w:rPr>
          <w:rFonts w:ascii="Arial" w:cs="Arial" w:eastAsia="Arial" w:hAnsi="Arial"/>
          <w:sz w:val="18"/>
          <w:szCs w:val="18"/>
          <w:color w:val="auto"/>
        </w:rPr>
        <w:t xml:space="preserve"> any reason </w:t>
      </w:r>
      <w:r>
        <w:rPr>
          <w:rFonts w:ascii="Arial" w:cs="Arial" w:eastAsia="Arial" w:hAnsi="Arial"/>
          <w:sz w:val="18"/>
          <w:szCs w:val="18"/>
          <w:color w:val="333334"/>
        </w:rPr>
        <w:t>whatsoever</w:t>
      </w:r>
      <w:r>
        <w:rPr>
          <w:rFonts w:ascii="Arial" w:cs="Arial" w:eastAsia="Arial" w:hAnsi="Arial"/>
          <w:sz w:val="18"/>
          <w:szCs w:val="18"/>
          <w:color w:val="auto"/>
        </w:rPr>
        <w:t xml:space="preserve"> simply by notifying the Company. Likewise, the Company may terminate </w:t>
      </w:r>
      <w:r>
        <w:rPr>
          <w:rFonts w:ascii="Arial" w:cs="Arial" w:eastAsia="Arial" w:hAnsi="Arial"/>
          <w:sz w:val="18"/>
          <w:szCs w:val="18"/>
          <w:color w:val="333334"/>
        </w:rPr>
        <w:t>your</w:t>
      </w:r>
      <w:r>
        <w:rPr>
          <w:rFonts w:ascii="Arial" w:cs="Arial" w:eastAsia="Arial" w:hAnsi="Arial"/>
          <w:sz w:val="18"/>
          <w:szCs w:val="18"/>
          <w:color w:val="auto"/>
        </w:rPr>
        <w:t xml:space="preserve"> employment at any time, </w:t>
      </w:r>
      <w:r>
        <w:rPr>
          <w:rFonts w:ascii="Arial" w:cs="Arial" w:eastAsia="Arial" w:hAnsi="Arial"/>
          <w:sz w:val="18"/>
          <w:szCs w:val="18"/>
          <w:color w:val="333334"/>
        </w:rPr>
        <w:t>with</w:t>
      </w:r>
      <w:r>
        <w:rPr>
          <w:rFonts w:ascii="Arial" w:cs="Arial" w:eastAsia="Arial" w:hAnsi="Arial"/>
          <w:sz w:val="18"/>
          <w:szCs w:val="18"/>
          <w:color w:val="auto"/>
        </w:rPr>
        <w:t xml:space="preserve"> or </w:t>
      </w:r>
      <w:r>
        <w:rPr>
          <w:rFonts w:ascii="Arial" w:cs="Arial" w:eastAsia="Arial" w:hAnsi="Arial"/>
          <w:sz w:val="18"/>
          <w:szCs w:val="18"/>
          <w:color w:val="333334"/>
        </w:rPr>
        <w:t>without</w:t>
      </w:r>
      <w:r>
        <w:rPr>
          <w:rFonts w:ascii="Arial" w:cs="Arial" w:eastAsia="Arial" w:hAnsi="Arial"/>
          <w:sz w:val="18"/>
          <w:szCs w:val="18"/>
          <w:color w:val="auto"/>
        </w:rPr>
        <w:t xml:space="preserve"> cause</w:t>
      </w:r>
      <w:r>
        <w:rPr>
          <w:rFonts w:ascii="Arial" w:cs="Arial" w:eastAsia="Arial" w:hAnsi="Arial"/>
          <w:sz w:val="18"/>
          <w:szCs w:val="18"/>
          <w:color w:val="515152"/>
        </w:rPr>
        <w:t>,</w:t>
      </w:r>
      <w:r>
        <w:rPr>
          <w:rFonts w:ascii="Arial" w:cs="Arial" w:eastAsia="Arial" w:hAnsi="Arial"/>
          <w:sz w:val="18"/>
          <w:szCs w:val="18"/>
          <w:color w:val="auto"/>
        </w:rPr>
        <w:t xml:space="preserve"> and with or without advance notice. Your employment at-will status can only be modified </w:t>
      </w:r>
      <w:r>
        <w:rPr>
          <w:rFonts w:ascii="Arial" w:cs="Arial" w:eastAsia="Arial" w:hAnsi="Arial"/>
          <w:sz w:val="18"/>
          <w:szCs w:val="18"/>
          <w:color w:val="333334"/>
        </w:rPr>
        <w:t>in</w:t>
      </w:r>
      <w:r>
        <w:rPr>
          <w:rFonts w:ascii="Arial" w:cs="Arial" w:eastAsia="Arial" w:hAnsi="Arial"/>
          <w:sz w:val="18"/>
          <w:szCs w:val="18"/>
          <w:color w:val="auto"/>
        </w:rPr>
        <w:t xml:space="preserve"> a </w:t>
      </w:r>
      <w:r>
        <w:rPr>
          <w:rFonts w:ascii="Arial" w:cs="Arial" w:eastAsia="Arial" w:hAnsi="Arial"/>
          <w:sz w:val="18"/>
          <w:szCs w:val="18"/>
          <w:color w:val="333334"/>
        </w:rPr>
        <w:t>written</w:t>
      </w:r>
      <w:r>
        <w:rPr>
          <w:rFonts w:ascii="Arial" w:cs="Arial" w:eastAsia="Arial" w:hAnsi="Arial"/>
          <w:sz w:val="18"/>
          <w:szCs w:val="18"/>
          <w:color w:val="auto"/>
        </w:rPr>
        <w:t xml:space="preserve"> agreement approved by the Company and signed by you and a duly authorized member of the Company. If your employment with the Company terminates for any reason (such date of termination, the “</w:t>
      </w:r>
      <w:r>
        <w:rPr>
          <w:rFonts w:ascii="Arial" w:cs="Arial" w:eastAsia="Arial" w:hAnsi="Arial"/>
          <w:sz w:val="18"/>
          <w:szCs w:val="18"/>
          <w:b w:val="1"/>
          <w:bCs w:val="1"/>
          <w:color w:val="auto"/>
        </w:rPr>
        <w:t>Termination Date</w:t>
      </w:r>
      <w:r>
        <w:rPr>
          <w:rFonts w:ascii="Arial" w:cs="Arial" w:eastAsia="Arial" w:hAnsi="Arial"/>
          <w:sz w:val="18"/>
          <w:szCs w:val="18"/>
          <w:color w:val="auto"/>
        </w:rPr>
        <w:t>”), then, concurrently with such termination, you will be deemed to have resigned from all director, officer, trustee or other positions you hold with the Company and any of its affiliates, in each case unless otherwise agreed to in writing by the Company and you. You agree to execute any documents evidencing such resignations as the Company may reasonably request.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 and Employee Benefits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333334"/>
        </w:rPr>
        <w:t xml:space="preserve">Your </w:t>
      </w:r>
      <w:r>
        <w:rPr>
          <w:rFonts w:ascii="Arial" w:cs="Arial" w:eastAsia="Arial" w:hAnsi="Arial"/>
          <w:sz w:val="18"/>
          <w:szCs w:val="18"/>
          <w:color w:val="000000"/>
        </w:rPr>
        <w:t>base salary</w:t>
      </w:r>
      <w:r>
        <w:rPr>
          <w:rFonts w:ascii="Arial" w:cs="Arial" w:eastAsia="Arial" w:hAnsi="Arial"/>
          <w:sz w:val="18"/>
          <w:szCs w:val="18"/>
          <w:color w:val="333334"/>
        </w:rPr>
        <w:t xml:space="preserve"> will </w:t>
      </w:r>
      <w:r>
        <w:rPr>
          <w:rFonts w:ascii="Arial" w:cs="Arial" w:eastAsia="Arial" w:hAnsi="Arial"/>
          <w:sz w:val="18"/>
          <w:szCs w:val="18"/>
          <w:color w:val="000000"/>
        </w:rPr>
        <w:t>be paid at the annual</w:t>
      </w:r>
      <w:r>
        <w:rPr>
          <w:rFonts w:ascii="Arial" w:cs="Arial" w:eastAsia="Arial" w:hAnsi="Arial"/>
          <w:sz w:val="18"/>
          <w:szCs w:val="18"/>
          <w:color w:val="333334"/>
        </w:rPr>
        <w:t xml:space="preserve"> rate </w:t>
      </w:r>
      <w:r>
        <w:rPr>
          <w:rFonts w:ascii="Arial" w:cs="Arial" w:eastAsia="Arial" w:hAnsi="Arial"/>
          <w:sz w:val="18"/>
          <w:szCs w:val="18"/>
          <w:color w:val="000000"/>
        </w:rPr>
        <w:t>of $563,100, less</w:t>
      </w:r>
      <w:r>
        <w:rPr>
          <w:rFonts w:ascii="Arial" w:cs="Arial" w:eastAsia="Arial" w:hAnsi="Arial"/>
          <w:sz w:val="18"/>
          <w:szCs w:val="18"/>
          <w:color w:val="333334"/>
        </w:rPr>
        <w:t xml:space="preserve"> payroll </w:t>
      </w:r>
      <w:r>
        <w:rPr>
          <w:rFonts w:ascii="Arial" w:cs="Arial" w:eastAsia="Arial" w:hAnsi="Arial"/>
          <w:sz w:val="18"/>
          <w:szCs w:val="18"/>
          <w:color w:val="000000"/>
        </w:rPr>
        <w:t>deductions and</w:t>
      </w:r>
      <w:r>
        <w:rPr>
          <w:rFonts w:ascii="Arial" w:cs="Arial" w:eastAsia="Arial" w:hAnsi="Arial"/>
          <w:sz w:val="18"/>
          <w:szCs w:val="18"/>
          <w:color w:val="333334"/>
        </w:rPr>
        <w:t xml:space="preserve"> withholdings, on </w:t>
      </w:r>
      <w:r>
        <w:rPr>
          <w:rFonts w:ascii="Arial" w:cs="Arial" w:eastAsia="Arial" w:hAnsi="Arial"/>
          <w:sz w:val="18"/>
          <w:szCs w:val="18"/>
          <w:color w:val="000000"/>
        </w:rPr>
        <w:t>the Company’s</w:t>
      </w:r>
      <w:r>
        <w:rPr>
          <w:rFonts w:ascii="Arial" w:cs="Arial" w:eastAsia="Arial" w:hAnsi="Arial"/>
          <w:sz w:val="18"/>
          <w:szCs w:val="18"/>
          <w:color w:val="333334"/>
        </w:rPr>
        <w:t xml:space="preserve"> normal </w:t>
      </w:r>
      <w:r>
        <w:rPr>
          <w:rFonts w:ascii="Arial" w:cs="Arial" w:eastAsia="Arial" w:hAnsi="Arial"/>
          <w:sz w:val="18"/>
          <w:szCs w:val="18"/>
          <w:color w:val="000000"/>
        </w:rPr>
        <w:t>payroll schedu</w:t>
      </w:r>
      <w:r>
        <w:rPr>
          <w:rFonts w:ascii="Arial" w:cs="Arial" w:eastAsia="Arial" w:hAnsi="Arial"/>
          <w:sz w:val="18"/>
          <w:szCs w:val="18"/>
          <w:color w:val="515152"/>
        </w:rPr>
        <w:t>l</w:t>
      </w:r>
      <w:r>
        <w:rPr>
          <w:rFonts w:ascii="Arial" w:cs="Arial" w:eastAsia="Arial" w:hAnsi="Arial"/>
          <w:sz w:val="18"/>
          <w:szCs w:val="18"/>
          <w:color w:val="333334"/>
        </w:rPr>
        <w:t xml:space="preserve">e. You </w:t>
      </w:r>
      <w:r>
        <w:rPr>
          <w:rFonts w:ascii="Arial" w:cs="Arial" w:eastAsia="Arial" w:hAnsi="Arial"/>
          <w:sz w:val="18"/>
          <w:szCs w:val="18"/>
          <w:color w:val="000000"/>
        </w:rPr>
        <w:t>will</w:t>
      </w:r>
      <w:r>
        <w:rPr>
          <w:rFonts w:ascii="Arial" w:cs="Arial" w:eastAsia="Arial" w:hAnsi="Arial"/>
          <w:sz w:val="18"/>
          <w:szCs w:val="18"/>
          <w:color w:val="333334"/>
        </w:rPr>
        <w:t xml:space="preserve"> be </w:t>
      </w:r>
      <w:r>
        <w:rPr>
          <w:rFonts w:ascii="Arial" w:cs="Arial" w:eastAsia="Arial" w:hAnsi="Arial"/>
          <w:sz w:val="18"/>
          <w:szCs w:val="18"/>
          <w:color w:val="171717"/>
        </w:rPr>
        <w:t>reimbursed for</w:t>
      </w:r>
      <w:r>
        <w:rPr>
          <w:rFonts w:ascii="Arial" w:cs="Arial" w:eastAsia="Arial" w:hAnsi="Arial"/>
          <w:sz w:val="18"/>
          <w:szCs w:val="18"/>
          <w:color w:val="333334"/>
        </w:rPr>
        <w:t xml:space="preserve"> </w:t>
      </w:r>
      <w:r>
        <w:rPr>
          <w:rFonts w:ascii="Arial" w:cs="Arial" w:eastAsia="Arial" w:hAnsi="Arial"/>
          <w:sz w:val="18"/>
          <w:szCs w:val="18"/>
          <w:color w:val="292929"/>
        </w:rPr>
        <w:t>expenses that</w:t>
      </w:r>
      <w:r>
        <w:rPr>
          <w:rFonts w:ascii="Arial" w:cs="Arial" w:eastAsia="Arial" w:hAnsi="Arial"/>
          <w:sz w:val="18"/>
          <w:szCs w:val="18"/>
          <w:color w:val="333334"/>
        </w:rPr>
        <w:t xml:space="preserve"> </w:t>
      </w:r>
      <w:r>
        <w:rPr>
          <w:rFonts w:ascii="Arial" w:cs="Arial" w:eastAsia="Arial" w:hAnsi="Arial"/>
          <w:sz w:val="18"/>
          <w:szCs w:val="18"/>
          <w:color w:val="171717"/>
        </w:rPr>
        <w:t>are</w:t>
      </w:r>
      <w:r>
        <w:rPr>
          <w:rFonts w:ascii="Arial" w:cs="Arial" w:eastAsia="Arial" w:hAnsi="Arial"/>
          <w:sz w:val="18"/>
          <w:szCs w:val="18"/>
          <w:color w:val="333334"/>
        </w:rPr>
        <w:t xml:space="preserve"> </w:t>
      </w:r>
      <w:r>
        <w:rPr>
          <w:rFonts w:ascii="Arial" w:cs="Arial" w:eastAsia="Arial" w:hAnsi="Arial"/>
          <w:sz w:val="18"/>
          <w:szCs w:val="18"/>
          <w:color w:val="292929"/>
        </w:rPr>
        <w:t>normal and customary for your role</w:t>
      </w:r>
      <w:r>
        <w:rPr>
          <w:rFonts w:ascii="Arial" w:cs="Arial" w:eastAsia="Arial" w:hAnsi="Arial"/>
          <w:sz w:val="18"/>
          <w:szCs w:val="18"/>
          <w:color w:val="333334"/>
        </w:rPr>
        <w:t xml:space="preserve"> </w:t>
      </w:r>
      <w:r>
        <w:rPr>
          <w:rFonts w:ascii="Arial" w:cs="Arial" w:eastAsia="Arial" w:hAnsi="Arial"/>
          <w:sz w:val="18"/>
          <w:szCs w:val="18"/>
          <w:color w:val="171717"/>
        </w:rPr>
        <w:t>and</w:t>
      </w:r>
      <w:r>
        <w:rPr>
          <w:rFonts w:ascii="Arial" w:cs="Arial" w:eastAsia="Arial" w:hAnsi="Arial"/>
          <w:sz w:val="18"/>
          <w:szCs w:val="18"/>
          <w:color w:val="333334"/>
        </w:rPr>
        <w:t xml:space="preserve"> </w:t>
      </w:r>
      <w:r>
        <w:rPr>
          <w:rFonts w:ascii="Arial" w:cs="Arial" w:eastAsia="Arial" w:hAnsi="Arial"/>
          <w:sz w:val="18"/>
          <w:szCs w:val="18"/>
          <w:color w:val="292929"/>
        </w:rPr>
        <w:t>follow</w:t>
      </w:r>
      <w:r>
        <w:rPr>
          <w:rFonts w:ascii="Arial" w:cs="Arial" w:eastAsia="Arial" w:hAnsi="Arial"/>
          <w:sz w:val="18"/>
          <w:szCs w:val="18"/>
          <w:color w:val="333334"/>
        </w:rPr>
        <w:t xml:space="preserve"> </w:t>
      </w:r>
      <w:r>
        <w:rPr>
          <w:rFonts w:ascii="Arial" w:cs="Arial" w:eastAsia="Arial" w:hAnsi="Arial"/>
          <w:sz w:val="18"/>
          <w:szCs w:val="18"/>
          <w:color w:val="292929"/>
        </w:rPr>
        <w:t xml:space="preserve">applicable Company policies. As </w:t>
      </w:r>
      <w:r>
        <w:rPr>
          <w:rFonts w:ascii="Arial" w:cs="Arial" w:eastAsia="Arial" w:hAnsi="Arial"/>
          <w:sz w:val="18"/>
          <w:szCs w:val="18"/>
          <w:color w:val="171717"/>
        </w:rPr>
        <w:t>an exempt</w:t>
      </w:r>
      <w:r>
        <w:rPr>
          <w:rFonts w:ascii="Arial" w:cs="Arial" w:eastAsia="Arial" w:hAnsi="Arial"/>
          <w:sz w:val="18"/>
          <w:szCs w:val="18"/>
          <w:color w:val="292929"/>
        </w:rPr>
        <w:t xml:space="preserve"> salaried employee, you will be </w:t>
      </w:r>
      <w:r>
        <w:rPr>
          <w:rFonts w:ascii="Arial" w:cs="Arial" w:eastAsia="Arial" w:hAnsi="Arial"/>
          <w:sz w:val="18"/>
          <w:szCs w:val="18"/>
          <w:color w:val="171717"/>
        </w:rPr>
        <w:t>required</w:t>
      </w:r>
      <w:r>
        <w:rPr>
          <w:rFonts w:ascii="Arial" w:cs="Arial" w:eastAsia="Arial" w:hAnsi="Arial"/>
          <w:sz w:val="18"/>
          <w:szCs w:val="18"/>
          <w:color w:val="292929"/>
        </w:rPr>
        <w:t xml:space="preserve"> to work the Company’s </w:t>
      </w:r>
      <w:r>
        <w:rPr>
          <w:rFonts w:ascii="Arial" w:cs="Arial" w:eastAsia="Arial" w:hAnsi="Arial"/>
          <w:sz w:val="18"/>
          <w:szCs w:val="18"/>
          <w:color w:val="171717"/>
        </w:rPr>
        <w:t>normal business</w:t>
      </w:r>
      <w:r>
        <w:rPr>
          <w:rFonts w:ascii="Arial" w:cs="Arial" w:eastAsia="Arial" w:hAnsi="Arial"/>
          <w:sz w:val="18"/>
          <w:szCs w:val="18"/>
          <w:color w:val="292929"/>
        </w:rPr>
        <w:t xml:space="preserve"> hours, and such additional </w:t>
      </w:r>
      <w:r>
        <w:rPr>
          <w:rFonts w:ascii="Arial" w:cs="Arial" w:eastAsia="Arial" w:hAnsi="Arial"/>
          <w:sz w:val="18"/>
          <w:szCs w:val="18"/>
          <w:color w:val="171717"/>
        </w:rPr>
        <w:t>time</w:t>
      </w:r>
      <w:r>
        <w:rPr>
          <w:rFonts w:ascii="Arial" w:cs="Arial" w:eastAsia="Arial" w:hAnsi="Arial"/>
          <w:sz w:val="18"/>
          <w:szCs w:val="18"/>
          <w:color w:val="292929"/>
        </w:rPr>
        <w:t xml:space="preserve"> as appropriate </w:t>
      </w:r>
      <w:r>
        <w:rPr>
          <w:rFonts w:ascii="Arial" w:cs="Arial" w:eastAsia="Arial" w:hAnsi="Arial"/>
          <w:sz w:val="18"/>
          <w:szCs w:val="18"/>
          <w:color w:val="171717"/>
        </w:rPr>
        <w:t>for</w:t>
      </w:r>
      <w:r>
        <w:rPr>
          <w:rFonts w:ascii="Arial" w:cs="Arial" w:eastAsia="Arial" w:hAnsi="Arial"/>
          <w:sz w:val="18"/>
          <w:szCs w:val="18"/>
          <w:color w:val="292929"/>
        </w:rPr>
        <w:t xml:space="preserve"> your work </w:t>
      </w:r>
      <w:r>
        <w:rPr>
          <w:rFonts w:ascii="Arial" w:cs="Arial" w:eastAsia="Arial" w:hAnsi="Arial"/>
          <w:sz w:val="18"/>
          <w:szCs w:val="18"/>
          <w:color w:val="171717"/>
        </w:rPr>
        <w:t>assignments</w:t>
      </w:r>
      <w:r>
        <w:rPr>
          <w:rFonts w:ascii="Arial" w:cs="Arial" w:eastAsia="Arial" w:hAnsi="Arial"/>
          <w:sz w:val="18"/>
          <w:szCs w:val="18"/>
          <w:color w:val="292929"/>
        </w:rPr>
        <w:t xml:space="preserve"> and position. You will </w:t>
      </w:r>
      <w:r>
        <w:rPr>
          <w:rFonts w:ascii="Arial" w:cs="Arial" w:eastAsia="Arial" w:hAnsi="Arial"/>
          <w:sz w:val="18"/>
          <w:szCs w:val="18"/>
          <w:color w:val="171717"/>
        </w:rPr>
        <w:t>not</w:t>
      </w:r>
      <w:r>
        <w:rPr>
          <w:rFonts w:ascii="Arial" w:cs="Arial" w:eastAsia="Arial" w:hAnsi="Arial"/>
          <w:sz w:val="18"/>
          <w:szCs w:val="18"/>
          <w:color w:val="292929"/>
        </w:rPr>
        <w:t xml:space="preserve"> be </w:t>
      </w:r>
      <w:r>
        <w:rPr>
          <w:rFonts w:ascii="Arial" w:cs="Arial" w:eastAsia="Arial" w:hAnsi="Arial"/>
          <w:sz w:val="18"/>
          <w:szCs w:val="18"/>
          <w:color w:val="171717"/>
        </w:rPr>
        <w:t>elig</w:t>
      </w:r>
      <w:r>
        <w:rPr>
          <w:rFonts w:ascii="Arial" w:cs="Arial" w:eastAsia="Arial" w:hAnsi="Arial"/>
          <w:sz w:val="18"/>
          <w:szCs w:val="18"/>
          <w:color w:val="3E3E3E"/>
        </w:rPr>
        <w:t>ible</w:t>
      </w:r>
      <w:r>
        <w:rPr>
          <w:rFonts w:ascii="Arial" w:cs="Arial" w:eastAsia="Arial" w:hAnsi="Arial"/>
          <w:sz w:val="18"/>
          <w:szCs w:val="18"/>
          <w:color w:val="292929"/>
        </w:rPr>
        <w:t xml:space="preserve"> </w:t>
      </w:r>
      <w:r>
        <w:rPr>
          <w:rFonts w:ascii="Arial" w:cs="Arial" w:eastAsia="Arial" w:hAnsi="Arial"/>
          <w:sz w:val="18"/>
          <w:szCs w:val="18"/>
          <w:color w:val="171717"/>
        </w:rPr>
        <w:t>for</w:t>
      </w:r>
      <w:r>
        <w:rPr>
          <w:rFonts w:ascii="Arial" w:cs="Arial" w:eastAsia="Arial" w:hAnsi="Arial"/>
          <w:sz w:val="18"/>
          <w:szCs w:val="18"/>
          <w:color w:val="292929"/>
        </w:rPr>
        <w:t xml:space="preserve"> overtime premiums.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92929"/>
        </w:rPr>
        <w:t>Commencing with fiscal year 2026, you will have a target annual incentive cash bonus opportunity of 65% of your base salary. Payment of the cash bonus in any fiscal year, if any, will be subject to the terms and conditions, if any, that the Board or a designated committee thereof establishes in its discretion from time to time (and shall be pro-rated for partial years). Unless otherwise expressly provided in such bonus program or the Severance Plan (as defined below), you must remain employed with the Company through the date of payment of any such bonus to be eligible to receive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586740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70" w:name="page71"/>
    <w:bookmarkEnd w:id="70"/>
    <w:p>
      <w:pPr>
        <w:jc w:val="both"/>
        <w:ind w:right="20"/>
        <w:spacing w:after="0" w:line="253" w:lineRule="auto"/>
        <w:rPr>
          <w:sz w:val="20"/>
          <w:szCs w:val="20"/>
          <w:color w:val="auto"/>
        </w:rPr>
      </w:pPr>
      <w:r>
        <w:rPr>
          <w:rFonts w:ascii="Arial" w:cs="Arial" w:eastAsia="Arial" w:hAnsi="Arial"/>
          <w:sz w:val="18"/>
          <w:szCs w:val="18"/>
          <w:color w:val="292929"/>
        </w:rPr>
        <w:t xml:space="preserve">You </w:t>
      </w:r>
      <w:r>
        <w:rPr>
          <w:rFonts w:ascii="Arial" w:cs="Arial" w:eastAsia="Arial" w:hAnsi="Arial"/>
          <w:sz w:val="18"/>
          <w:szCs w:val="18"/>
          <w:color w:val="3E3E3E"/>
        </w:rPr>
        <w:t>will</w:t>
      </w:r>
      <w:r>
        <w:rPr>
          <w:rFonts w:ascii="Arial" w:cs="Arial" w:eastAsia="Arial" w:hAnsi="Arial"/>
          <w:sz w:val="18"/>
          <w:szCs w:val="18"/>
          <w:color w:val="292929"/>
        </w:rPr>
        <w:t xml:space="preserve"> be eligible to participate </w:t>
      </w:r>
      <w:r>
        <w:rPr>
          <w:rFonts w:ascii="Arial" w:cs="Arial" w:eastAsia="Arial" w:hAnsi="Arial"/>
          <w:sz w:val="18"/>
          <w:szCs w:val="18"/>
          <w:color w:val="171717"/>
        </w:rPr>
        <w:t>in the Company’s</w:t>
      </w:r>
      <w:r>
        <w:rPr>
          <w:rFonts w:ascii="Arial" w:cs="Arial" w:eastAsia="Arial" w:hAnsi="Arial"/>
          <w:sz w:val="18"/>
          <w:szCs w:val="18"/>
          <w:color w:val="292929"/>
        </w:rPr>
        <w:t xml:space="preserve"> health and welfare, group </w:t>
      </w:r>
      <w:r>
        <w:rPr>
          <w:rFonts w:ascii="Arial" w:cs="Arial" w:eastAsia="Arial" w:hAnsi="Arial"/>
          <w:sz w:val="18"/>
          <w:szCs w:val="18"/>
          <w:color w:val="3E3E3E"/>
        </w:rPr>
        <w:t>i</w:t>
      </w:r>
      <w:r>
        <w:rPr>
          <w:rFonts w:ascii="Arial" w:cs="Arial" w:eastAsia="Arial" w:hAnsi="Arial"/>
          <w:sz w:val="18"/>
          <w:szCs w:val="18"/>
          <w:color w:val="171717"/>
        </w:rPr>
        <w:t>ns</w:t>
      </w:r>
      <w:r>
        <w:rPr>
          <w:rFonts w:ascii="Arial" w:cs="Arial" w:eastAsia="Arial" w:hAnsi="Arial"/>
          <w:sz w:val="18"/>
          <w:szCs w:val="18"/>
          <w:color w:val="3E3E3E"/>
        </w:rPr>
        <w:t>urance, retireme</w:t>
      </w:r>
      <w:r>
        <w:rPr>
          <w:rFonts w:ascii="Arial" w:cs="Arial" w:eastAsia="Arial" w:hAnsi="Arial"/>
          <w:sz w:val="18"/>
          <w:szCs w:val="18"/>
          <w:color w:val="171717"/>
        </w:rPr>
        <w:t>nt</w:t>
      </w:r>
      <w:r>
        <w:rPr>
          <w:rFonts w:ascii="Arial" w:cs="Arial" w:eastAsia="Arial" w:hAnsi="Arial"/>
          <w:sz w:val="18"/>
          <w:szCs w:val="18"/>
          <w:color w:val="292929"/>
        </w:rPr>
        <w:t xml:space="preserve"> and other employee benefit plans, programs and arrangements (pursuant </w:t>
      </w:r>
      <w:r>
        <w:rPr>
          <w:rFonts w:ascii="Arial" w:cs="Arial" w:eastAsia="Arial" w:hAnsi="Arial"/>
          <w:sz w:val="18"/>
          <w:szCs w:val="18"/>
          <w:color w:val="171717"/>
        </w:rPr>
        <w:t>to the</w:t>
      </w:r>
      <w:r>
        <w:rPr>
          <w:rFonts w:ascii="Arial" w:cs="Arial" w:eastAsia="Arial" w:hAnsi="Arial"/>
          <w:sz w:val="18"/>
          <w:szCs w:val="18"/>
          <w:color w:val="292929"/>
        </w:rPr>
        <w:t xml:space="preserve"> terms </w:t>
      </w:r>
      <w:r>
        <w:rPr>
          <w:rFonts w:ascii="Arial" w:cs="Arial" w:eastAsia="Arial" w:hAnsi="Arial"/>
          <w:sz w:val="18"/>
          <w:szCs w:val="18"/>
          <w:color w:val="171717"/>
        </w:rPr>
        <w:t>and</w:t>
      </w:r>
      <w:r>
        <w:rPr>
          <w:rFonts w:ascii="Arial" w:cs="Arial" w:eastAsia="Arial" w:hAnsi="Arial"/>
          <w:sz w:val="18"/>
          <w:szCs w:val="18"/>
          <w:color w:val="292929"/>
        </w:rPr>
        <w:t xml:space="preserve"> </w:t>
      </w:r>
      <w:r>
        <w:rPr>
          <w:rFonts w:ascii="Arial" w:cs="Arial" w:eastAsia="Arial" w:hAnsi="Arial"/>
          <w:sz w:val="18"/>
          <w:szCs w:val="18"/>
          <w:color w:val="3E3E3E"/>
        </w:rPr>
        <w:t>co</w:t>
      </w:r>
      <w:r>
        <w:rPr>
          <w:rFonts w:ascii="Arial" w:cs="Arial" w:eastAsia="Arial" w:hAnsi="Arial"/>
          <w:sz w:val="18"/>
          <w:szCs w:val="18"/>
          <w:color w:val="171717"/>
        </w:rPr>
        <w:t>nditions</w:t>
      </w:r>
      <w:r>
        <w:rPr>
          <w:rFonts w:ascii="Arial" w:cs="Arial" w:eastAsia="Arial" w:hAnsi="Arial"/>
          <w:sz w:val="18"/>
          <w:szCs w:val="18"/>
          <w:color w:val="292929"/>
        </w:rPr>
        <w:t xml:space="preserve"> of the benefit plans </w:t>
      </w:r>
      <w:r>
        <w:rPr>
          <w:rFonts w:ascii="Arial" w:cs="Arial" w:eastAsia="Arial" w:hAnsi="Arial"/>
          <w:sz w:val="18"/>
          <w:szCs w:val="18"/>
          <w:color w:val="171717"/>
        </w:rPr>
        <w:t>and</w:t>
      </w:r>
      <w:r>
        <w:rPr>
          <w:rFonts w:ascii="Arial" w:cs="Arial" w:eastAsia="Arial" w:hAnsi="Arial"/>
          <w:sz w:val="18"/>
          <w:szCs w:val="18"/>
          <w:color w:val="292929"/>
        </w:rPr>
        <w:t xml:space="preserve"> applicable policies) as are </w:t>
      </w:r>
      <w:r>
        <w:rPr>
          <w:rFonts w:ascii="Arial" w:cs="Arial" w:eastAsia="Arial" w:hAnsi="Arial"/>
          <w:sz w:val="18"/>
          <w:szCs w:val="18"/>
          <w:color w:val="171717"/>
        </w:rPr>
        <w:t>made generally</w:t>
      </w:r>
      <w:r>
        <w:rPr>
          <w:rFonts w:ascii="Arial" w:cs="Arial" w:eastAsia="Arial" w:hAnsi="Arial"/>
          <w:sz w:val="18"/>
          <w:szCs w:val="18"/>
          <w:color w:val="292929"/>
        </w:rPr>
        <w:t xml:space="preserve"> available </w:t>
      </w:r>
      <w:r>
        <w:rPr>
          <w:rFonts w:ascii="Arial" w:cs="Arial" w:eastAsia="Arial" w:hAnsi="Arial"/>
          <w:sz w:val="18"/>
          <w:szCs w:val="18"/>
          <w:color w:val="171717"/>
        </w:rPr>
        <w:t>from time to time to</w:t>
      </w:r>
      <w:r>
        <w:rPr>
          <w:rFonts w:ascii="Arial" w:cs="Arial" w:eastAsia="Arial" w:hAnsi="Arial"/>
          <w:sz w:val="18"/>
          <w:szCs w:val="18"/>
          <w:color w:val="292929"/>
        </w:rPr>
        <w:t xml:space="preserve"> executives of </w:t>
      </w:r>
      <w:r>
        <w:rPr>
          <w:rFonts w:ascii="Arial" w:cs="Arial" w:eastAsia="Arial" w:hAnsi="Arial"/>
          <w:sz w:val="18"/>
          <w:szCs w:val="18"/>
          <w:color w:val="3E3E3E"/>
        </w:rPr>
        <w:t>the</w:t>
      </w:r>
      <w:r>
        <w:rPr>
          <w:rFonts w:ascii="Arial" w:cs="Arial" w:eastAsia="Arial" w:hAnsi="Arial"/>
          <w:sz w:val="18"/>
          <w:szCs w:val="18"/>
          <w:color w:val="292929"/>
        </w:rPr>
        <w:t xml:space="preserve"> Company.</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71717"/>
        </w:rPr>
        <w:t xml:space="preserve">You </w:t>
      </w:r>
      <w:r>
        <w:rPr>
          <w:rFonts w:ascii="Arial" w:cs="Arial" w:eastAsia="Arial" w:hAnsi="Arial"/>
          <w:sz w:val="18"/>
          <w:szCs w:val="18"/>
          <w:color w:val="292929"/>
        </w:rPr>
        <w:t>will be eligible</w:t>
      </w:r>
      <w:r>
        <w:rPr>
          <w:rFonts w:ascii="Arial" w:cs="Arial" w:eastAsia="Arial" w:hAnsi="Arial"/>
          <w:sz w:val="18"/>
          <w:szCs w:val="18"/>
          <w:color w:val="171717"/>
        </w:rPr>
        <w:t xml:space="preserve"> for 5 weeks of </w:t>
      </w:r>
      <w:r>
        <w:rPr>
          <w:rFonts w:ascii="Arial" w:cs="Arial" w:eastAsia="Arial" w:hAnsi="Arial"/>
          <w:sz w:val="18"/>
          <w:szCs w:val="18"/>
          <w:color w:val="292929"/>
        </w:rPr>
        <w:t>vacation</w:t>
      </w:r>
      <w:r>
        <w:rPr>
          <w:rFonts w:ascii="Arial" w:cs="Arial" w:eastAsia="Arial" w:hAnsi="Arial"/>
          <w:sz w:val="18"/>
          <w:szCs w:val="18"/>
          <w:color w:val="171717"/>
        </w:rPr>
        <w:t xml:space="preserve"> per </w:t>
      </w:r>
      <w:r>
        <w:rPr>
          <w:rFonts w:ascii="Arial" w:cs="Arial" w:eastAsia="Arial" w:hAnsi="Arial"/>
          <w:sz w:val="18"/>
          <w:szCs w:val="18"/>
          <w:color w:val="292929"/>
        </w:rPr>
        <w:t>year. You will earn any additional vacation according</w:t>
      </w:r>
      <w:r>
        <w:rPr>
          <w:rFonts w:ascii="Arial" w:cs="Arial" w:eastAsia="Arial" w:hAnsi="Arial"/>
          <w:sz w:val="18"/>
          <w:szCs w:val="18"/>
          <w:color w:val="171717"/>
        </w:rPr>
        <w:t xml:space="preserve"> to the Company’s </w:t>
      </w:r>
      <w:r>
        <w:rPr>
          <w:rFonts w:ascii="Arial" w:cs="Arial" w:eastAsia="Arial" w:hAnsi="Arial"/>
          <w:sz w:val="18"/>
          <w:szCs w:val="18"/>
          <w:color w:val="292929"/>
        </w:rPr>
        <w:t xml:space="preserve">vacation </w:t>
      </w:r>
      <w:r>
        <w:rPr>
          <w:rFonts w:ascii="Arial" w:cs="Arial" w:eastAsia="Arial" w:hAnsi="Arial"/>
          <w:sz w:val="18"/>
          <w:szCs w:val="18"/>
          <w:color w:val="171717"/>
        </w:rPr>
        <w:t>policy</w:t>
      </w:r>
      <w:r>
        <w:rPr>
          <w:rFonts w:ascii="Arial" w:cs="Arial" w:eastAsia="Arial" w:hAnsi="Arial"/>
          <w:sz w:val="18"/>
          <w:szCs w:val="18"/>
          <w:color w:val="3E3E3E"/>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92929"/>
        </w:rPr>
        <w:t>IPO and Equity Awards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92929"/>
        </w:rPr>
        <w:t xml:space="preserve">In connection with the IPO, subject to the approval of the Board (or a committee thereof), you will be granted </w:t>
      </w:r>
      <w:r>
        <w:rPr>
          <w:rFonts w:ascii="Arial" w:cs="Arial" w:eastAsia="Arial" w:hAnsi="Arial"/>
          <w:sz w:val="18"/>
          <w:szCs w:val="18"/>
          <w:color w:val="000000"/>
        </w:rPr>
        <w:t>restricted stock</w:t>
      </w:r>
      <w:r>
        <w:rPr>
          <w:rFonts w:ascii="Arial" w:cs="Arial" w:eastAsia="Arial" w:hAnsi="Arial"/>
          <w:sz w:val="18"/>
          <w:szCs w:val="18"/>
          <w:color w:val="292929"/>
        </w:rPr>
        <w:t xml:space="preserve"> </w:t>
      </w:r>
      <w:r>
        <w:rPr>
          <w:rFonts w:ascii="Arial" w:cs="Arial" w:eastAsia="Arial" w:hAnsi="Arial"/>
          <w:sz w:val="18"/>
          <w:szCs w:val="18"/>
          <w:color w:val="000000"/>
        </w:rPr>
        <w:t xml:space="preserve">units with respect to shares of Class A common stock of Yesway with an aggregate grant date value of $3,960,000 and performance stock units with respect to shares of Class A common stock of Yesway </w:t>
      </w:r>
      <w:r>
        <w:rPr>
          <w:rFonts w:ascii="Arial" w:cs="Arial" w:eastAsia="Arial" w:hAnsi="Arial"/>
          <w:sz w:val="18"/>
          <w:szCs w:val="18"/>
          <w:color w:val="292929"/>
        </w:rPr>
        <w:t>with an aggregate grant date value of</w:t>
      </w:r>
      <w:r>
        <w:rPr>
          <w:rFonts w:ascii="Arial" w:cs="Arial" w:eastAsia="Arial" w:hAnsi="Arial"/>
          <w:sz w:val="18"/>
          <w:szCs w:val="18"/>
          <w:color w:val="000000"/>
        </w:rPr>
        <w:t xml:space="preserve"> </w:t>
      </w:r>
      <w:r>
        <w:rPr>
          <w:rFonts w:ascii="Arial" w:cs="Arial" w:eastAsia="Arial" w:hAnsi="Arial"/>
          <w:sz w:val="18"/>
          <w:szCs w:val="18"/>
          <w:color w:val="292929"/>
        </w:rPr>
        <w:t>$3,960,000 under Yesway’s 2026 Incentive Award Plan (the “</w:t>
      </w:r>
      <w:r>
        <w:rPr>
          <w:rFonts w:ascii="Arial" w:cs="Arial" w:eastAsia="Arial" w:hAnsi="Arial"/>
          <w:sz w:val="18"/>
          <w:szCs w:val="18"/>
          <w:b w:val="1"/>
          <w:bCs w:val="1"/>
          <w:color w:val="292929"/>
        </w:rPr>
        <w:t>2026 Plan</w:t>
      </w:r>
      <w:r>
        <w:rPr>
          <w:rFonts w:ascii="Arial" w:cs="Arial" w:eastAsia="Arial" w:hAnsi="Arial"/>
          <w:sz w:val="18"/>
          <w:szCs w:val="18"/>
          <w:color w:val="292929"/>
        </w:rPr>
        <w:t>”) and an applicable award agreement thereunder.</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92929"/>
        </w:rPr>
        <w:t>During your employment with the Company, you will be eligible to participate in the 2026 Plan or other equity incentive plan then in effect and receive equity awards thereunder, as determined by the Board (or a committee thereof) in its discretion and subject to the terms of the 2026 Plan or other equity incentive plan then in effect and an applicable award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C1C1C"/>
        </w:rPr>
        <w:t>Severance Benefits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will be eligible to participate in the Yesway, Inc. Executive Severance Plan (as amended and restated from time to time, the “</w:t>
      </w:r>
      <w:r>
        <w:rPr>
          <w:rFonts w:ascii="Arial" w:cs="Arial" w:eastAsia="Arial" w:hAnsi="Arial"/>
          <w:sz w:val="18"/>
          <w:szCs w:val="18"/>
          <w:b w:val="1"/>
          <w:bCs w:val="1"/>
          <w:color w:val="auto"/>
        </w:rPr>
        <w:t>Severance Plan</w:t>
      </w:r>
      <w:r>
        <w:rPr>
          <w:rFonts w:ascii="Arial" w:cs="Arial" w:eastAsia="Arial" w:hAnsi="Arial"/>
          <w:sz w:val="18"/>
          <w:szCs w:val="18"/>
          <w:color w:val="auto"/>
        </w:rPr>
        <w:t>”), a copy of which has been provided to you. By signing this Agreement, you are acknowledging such participation and your understanding that you are agreeing to all of the terms and conditions of the Severance Plan, including certain promises and covenants contained in Section 9 of the Severance Plan (which apply regardless of whether you receive any payments or benefits under the Severance Plan). You should read the entire Severance Plan carefully.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1C1C1C"/>
        </w:rPr>
        <w:t>Section 409A</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C1C1C"/>
        </w:rPr>
        <w:t>Notwith</w:t>
      </w:r>
      <w:r>
        <w:rPr>
          <w:rFonts w:ascii="Arial" w:cs="Arial" w:eastAsia="Arial" w:hAnsi="Arial"/>
          <w:sz w:val="18"/>
          <w:szCs w:val="18"/>
          <w:color w:val="434343"/>
        </w:rPr>
        <w:t>sta</w:t>
      </w:r>
      <w:r>
        <w:rPr>
          <w:rFonts w:ascii="Arial" w:cs="Arial" w:eastAsia="Arial" w:hAnsi="Arial"/>
          <w:sz w:val="18"/>
          <w:szCs w:val="18"/>
          <w:color w:val="1C1C1C"/>
        </w:rPr>
        <w:t xml:space="preserve">nding </w:t>
      </w:r>
      <w:r>
        <w:rPr>
          <w:rFonts w:ascii="Arial" w:cs="Arial" w:eastAsia="Arial" w:hAnsi="Arial"/>
          <w:sz w:val="18"/>
          <w:szCs w:val="18"/>
          <w:color w:val="2C2C2C"/>
        </w:rPr>
        <w:t>anything</w:t>
      </w:r>
      <w:r>
        <w:rPr>
          <w:rFonts w:ascii="Arial" w:cs="Arial" w:eastAsia="Arial" w:hAnsi="Arial"/>
          <w:sz w:val="18"/>
          <w:szCs w:val="18"/>
          <w:color w:val="1C1C1C"/>
        </w:rPr>
        <w:t xml:space="preserve"> herein to </w:t>
      </w:r>
      <w:r>
        <w:rPr>
          <w:rFonts w:ascii="Arial" w:cs="Arial" w:eastAsia="Arial" w:hAnsi="Arial"/>
          <w:sz w:val="18"/>
          <w:szCs w:val="18"/>
          <w:color w:val="2C2C2C"/>
        </w:rPr>
        <w:t>the</w:t>
      </w:r>
      <w:r>
        <w:rPr>
          <w:rFonts w:ascii="Arial" w:cs="Arial" w:eastAsia="Arial" w:hAnsi="Arial"/>
          <w:sz w:val="18"/>
          <w:szCs w:val="18"/>
          <w:color w:val="1C1C1C"/>
        </w:rPr>
        <w:t xml:space="preserve"> </w:t>
      </w:r>
      <w:r>
        <w:rPr>
          <w:rFonts w:ascii="Arial" w:cs="Arial" w:eastAsia="Arial" w:hAnsi="Arial"/>
          <w:sz w:val="18"/>
          <w:szCs w:val="18"/>
          <w:color w:val="434343"/>
        </w:rPr>
        <w:t>co</w:t>
      </w:r>
      <w:r>
        <w:rPr>
          <w:rFonts w:ascii="Arial" w:cs="Arial" w:eastAsia="Arial" w:hAnsi="Arial"/>
          <w:sz w:val="18"/>
          <w:szCs w:val="18"/>
          <w:color w:val="1C1C1C"/>
        </w:rPr>
        <w:t>ntrary</w:t>
      </w:r>
      <w:r>
        <w:rPr>
          <w:rFonts w:ascii="Arial" w:cs="Arial" w:eastAsia="Arial" w:hAnsi="Arial"/>
          <w:sz w:val="18"/>
          <w:szCs w:val="18"/>
          <w:color w:val="434343"/>
        </w:rPr>
        <w:t>,</w:t>
      </w:r>
      <w:r>
        <w:rPr>
          <w:rFonts w:ascii="Arial" w:cs="Arial" w:eastAsia="Arial" w:hAnsi="Arial"/>
          <w:sz w:val="18"/>
          <w:szCs w:val="18"/>
          <w:color w:val="1C1C1C"/>
        </w:rPr>
        <w:t xml:space="preserve"> this </w:t>
      </w:r>
      <w:r>
        <w:rPr>
          <w:rFonts w:ascii="Arial" w:cs="Arial" w:eastAsia="Arial" w:hAnsi="Arial"/>
          <w:sz w:val="18"/>
          <w:szCs w:val="18"/>
          <w:color w:val="2C2C2C"/>
        </w:rPr>
        <w:t>Agreement</w:t>
      </w:r>
      <w:r>
        <w:rPr>
          <w:rFonts w:ascii="Arial" w:cs="Arial" w:eastAsia="Arial" w:hAnsi="Arial"/>
          <w:sz w:val="18"/>
          <w:szCs w:val="18"/>
          <w:color w:val="1C1C1C"/>
        </w:rPr>
        <w:t xml:space="preserve"> is </w:t>
      </w:r>
      <w:r>
        <w:rPr>
          <w:rFonts w:ascii="Arial" w:cs="Arial" w:eastAsia="Arial" w:hAnsi="Arial"/>
          <w:sz w:val="18"/>
          <w:szCs w:val="18"/>
          <w:color w:val="2C2C2C"/>
        </w:rPr>
        <w:t>intended to be interpreted and applied</w:t>
      </w:r>
      <w:r>
        <w:rPr>
          <w:rFonts w:ascii="Arial" w:cs="Arial" w:eastAsia="Arial" w:hAnsi="Arial"/>
          <w:sz w:val="18"/>
          <w:szCs w:val="18"/>
          <w:color w:val="1C1C1C"/>
        </w:rPr>
        <w:t xml:space="preserve"> so that the </w:t>
      </w:r>
      <w:r>
        <w:rPr>
          <w:rFonts w:ascii="Arial" w:cs="Arial" w:eastAsia="Arial" w:hAnsi="Arial"/>
          <w:sz w:val="18"/>
          <w:szCs w:val="18"/>
          <w:color w:val="2C2C2C"/>
        </w:rPr>
        <w:t xml:space="preserve">payment of the benefits </w:t>
      </w:r>
      <w:r>
        <w:rPr>
          <w:rFonts w:ascii="Arial" w:cs="Arial" w:eastAsia="Arial" w:hAnsi="Arial"/>
          <w:sz w:val="18"/>
          <w:szCs w:val="18"/>
          <w:color w:val="1C1C1C"/>
        </w:rPr>
        <w:t>set</w:t>
      </w:r>
      <w:r>
        <w:rPr>
          <w:rFonts w:ascii="Arial" w:cs="Arial" w:eastAsia="Arial" w:hAnsi="Arial"/>
          <w:sz w:val="18"/>
          <w:szCs w:val="18"/>
          <w:color w:val="2C2C2C"/>
        </w:rPr>
        <w:t xml:space="preserve"> forth </w:t>
      </w:r>
      <w:r>
        <w:rPr>
          <w:rFonts w:ascii="Arial" w:cs="Arial" w:eastAsia="Arial" w:hAnsi="Arial"/>
          <w:sz w:val="18"/>
          <w:szCs w:val="18"/>
          <w:color w:val="1C1C1C"/>
        </w:rPr>
        <w:t>herein</w:t>
      </w:r>
      <w:r>
        <w:rPr>
          <w:rFonts w:ascii="Arial" w:cs="Arial" w:eastAsia="Arial" w:hAnsi="Arial"/>
          <w:sz w:val="18"/>
          <w:szCs w:val="18"/>
          <w:color w:val="2C2C2C"/>
        </w:rPr>
        <w:t xml:space="preserve"> shall either be exempt from the </w:t>
      </w:r>
      <w:r>
        <w:rPr>
          <w:rFonts w:ascii="Arial" w:cs="Arial" w:eastAsia="Arial" w:hAnsi="Arial"/>
          <w:sz w:val="18"/>
          <w:szCs w:val="18"/>
          <w:color w:val="434343"/>
        </w:rPr>
        <w:t>requiremen</w:t>
      </w:r>
      <w:r>
        <w:rPr>
          <w:rFonts w:ascii="Arial" w:cs="Arial" w:eastAsia="Arial" w:hAnsi="Arial"/>
          <w:sz w:val="18"/>
          <w:szCs w:val="18"/>
          <w:color w:val="1C1C1C"/>
        </w:rPr>
        <w:t>ts</w:t>
      </w:r>
      <w:r>
        <w:rPr>
          <w:rFonts w:ascii="Arial" w:cs="Arial" w:eastAsia="Arial" w:hAnsi="Arial"/>
          <w:sz w:val="18"/>
          <w:szCs w:val="18"/>
          <w:color w:val="2C2C2C"/>
        </w:rPr>
        <w:t xml:space="preserve"> of </w:t>
      </w:r>
      <w:r>
        <w:rPr>
          <w:rFonts w:ascii="Arial" w:cs="Arial" w:eastAsia="Arial" w:hAnsi="Arial"/>
          <w:sz w:val="18"/>
          <w:szCs w:val="18"/>
          <w:color w:val="1C1C1C"/>
        </w:rPr>
        <w:t>Section</w:t>
      </w:r>
      <w:r>
        <w:rPr>
          <w:rFonts w:ascii="Arial" w:cs="Arial" w:eastAsia="Arial" w:hAnsi="Arial"/>
          <w:sz w:val="18"/>
          <w:szCs w:val="18"/>
          <w:color w:val="2C2C2C"/>
        </w:rPr>
        <w:t xml:space="preserve"> 409A of </w:t>
      </w:r>
      <w:r>
        <w:rPr>
          <w:rFonts w:ascii="Arial" w:cs="Arial" w:eastAsia="Arial" w:hAnsi="Arial"/>
          <w:sz w:val="18"/>
          <w:szCs w:val="18"/>
          <w:color w:val="1C1C1C"/>
        </w:rPr>
        <w:t>the Internal</w:t>
      </w:r>
      <w:r>
        <w:rPr>
          <w:rFonts w:ascii="Arial" w:cs="Arial" w:eastAsia="Arial" w:hAnsi="Arial"/>
          <w:sz w:val="18"/>
          <w:szCs w:val="18"/>
          <w:color w:val="2C2C2C"/>
        </w:rPr>
        <w:t xml:space="preserve"> </w:t>
      </w:r>
      <w:r>
        <w:rPr>
          <w:rFonts w:ascii="Arial" w:cs="Arial" w:eastAsia="Arial" w:hAnsi="Arial"/>
          <w:sz w:val="18"/>
          <w:szCs w:val="18"/>
          <w:color w:val="1C1C1C"/>
        </w:rPr>
        <w:t xml:space="preserve">Revenue </w:t>
      </w:r>
      <w:r>
        <w:rPr>
          <w:rFonts w:ascii="Arial" w:cs="Arial" w:eastAsia="Arial" w:hAnsi="Arial"/>
          <w:sz w:val="18"/>
          <w:szCs w:val="18"/>
          <w:color w:val="2C2C2C"/>
        </w:rPr>
        <w:t>Code of 1986, as amended (the “</w:t>
      </w:r>
      <w:r>
        <w:rPr>
          <w:rFonts w:ascii="Arial" w:cs="Arial" w:eastAsia="Arial" w:hAnsi="Arial"/>
          <w:sz w:val="18"/>
          <w:szCs w:val="18"/>
          <w:b w:val="1"/>
          <w:bCs w:val="1"/>
          <w:color w:val="2C2C2C"/>
        </w:rPr>
        <w:t>Code</w:t>
      </w:r>
      <w:r>
        <w:rPr>
          <w:rFonts w:ascii="Arial" w:cs="Arial" w:eastAsia="Arial" w:hAnsi="Arial"/>
          <w:sz w:val="18"/>
          <w:szCs w:val="18"/>
          <w:color w:val="2C2C2C"/>
        </w:rPr>
        <w:t>”)</w:t>
      </w:r>
      <w:r>
        <w:rPr>
          <w:rFonts w:ascii="Arial" w:cs="Arial" w:eastAsia="Arial" w:hAnsi="Arial"/>
          <w:sz w:val="18"/>
          <w:szCs w:val="18"/>
          <w:color w:val="1C1C1C"/>
        </w:rPr>
        <w:t xml:space="preserve"> </w:t>
      </w:r>
      <w:r>
        <w:rPr>
          <w:rFonts w:ascii="Arial" w:cs="Arial" w:eastAsia="Arial" w:hAnsi="Arial"/>
          <w:sz w:val="18"/>
          <w:szCs w:val="18"/>
          <w:color w:val="434343"/>
        </w:rPr>
        <w:t>(together with the Department of Treasury Regulations and other</w:t>
      </w:r>
      <w:r>
        <w:rPr>
          <w:rFonts w:ascii="Arial" w:cs="Arial" w:eastAsia="Arial" w:hAnsi="Arial"/>
          <w:sz w:val="18"/>
          <w:szCs w:val="18"/>
          <w:color w:val="1C1C1C"/>
        </w:rPr>
        <w:t xml:space="preserve"> </w:t>
      </w:r>
      <w:r>
        <w:rPr>
          <w:rFonts w:ascii="Arial" w:cs="Arial" w:eastAsia="Arial" w:hAnsi="Arial"/>
          <w:sz w:val="18"/>
          <w:szCs w:val="18"/>
          <w:color w:val="434343"/>
        </w:rPr>
        <w:t>guidance thereunder, “</w:t>
      </w:r>
      <w:r>
        <w:rPr>
          <w:rFonts w:ascii="Arial" w:cs="Arial" w:eastAsia="Arial" w:hAnsi="Arial"/>
          <w:sz w:val="18"/>
          <w:szCs w:val="18"/>
          <w:b w:val="1"/>
          <w:bCs w:val="1"/>
          <w:color w:val="1C1C1C"/>
        </w:rPr>
        <w:t>Section 409A</w:t>
      </w:r>
      <w:r>
        <w:rPr>
          <w:rFonts w:ascii="Arial" w:cs="Arial" w:eastAsia="Arial" w:hAnsi="Arial"/>
          <w:sz w:val="18"/>
          <w:szCs w:val="18"/>
          <w:color w:val="434343"/>
        </w:rPr>
        <w:t>”) o</w:t>
      </w:r>
      <w:r>
        <w:rPr>
          <w:rFonts w:ascii="Arial" w:cs="Arial" w:eastAsia="Arial" w:hAnsi="Arial"/>
          <w:sz w:val="18"/>
          <w:szCs w:val="18"/>
          <w:color w:val="1C1C1C"/>
        </w:rPr>
        <w:t>r</w:t>
      </w:r>
      <w:r>
        <w:rPr>
          <w:rFonts w:ascii="Arial" w:cs="Arial" w:eastAsia="Arial" w:hAnsi="Arial"/>
          <w:sz w:val="18"/>
          <w:szCs w:val="18"/>
          <w:color w:val="434343"/>
        </w:rPr>
        <w:t xml:space="preserve"> </w:t>
      </w:r>
      <w:r>
        <w:rPr>
          <w:rFonts w:ascii="Arial" w:cs="Arial" w:eastAsia="Arial" w:hAnsi="Arial"/>
          <w:sz w:val="18"/>
          <w:szCs w:val="18"/>
          <w:color w:val="2C2C2C"/>
        </w:rPr>
        <w:t>shall</w:t>
      </w:r>
      <w:r>
        <w:rPr>
          <w:rFonts w:ascii="Arial" w:cs="Arial" w:eastAsia="Arial" w:hAnsi="Arial"/>
          <w:sz w:val="18"/>
          <w:szCs w:val="18"/>
          <w:color w:val="434343"/>
        </w:rPr>
        <w:t xml:space="preserve"> comply </w:t>
      </w:r>
      <w:r>
        <w:rPr>
          <w:rFonts w:ascii="Arial" w:cs="Arial" w:eastAsia="Arial" w:hAnsi="Arial"/>
          <w:sz w:val="18"/>
          <w:szCs w:val="18"/>
          <w:color w:val="2C2C2C"/>
        </w:rPr>
        <w:t>with</w:t>
      </w:r>
      <w:r>
        <w:rPr>
          <w:rFonts w:ascii="Arial" w:cs="Arial" w:eastAsia="Arial" w:hAnsi="Arial"/>
          <w:sz w:val="18"/>
          <w:szCs w:val="18"/>
          <w:color w:val="434343"/>
        </w:rPr>
        <w:t xml:space="preserve"> </w:t>
      </w:r>
      <w:r>
        <w:rPr>
          <w:rFonts w:ascii="Arial" w:cs="Arial" w:eastAsia="Arial" w:hAnsi="Arial"/>
          <w:sz w:val="18"/>
          <w:szCs w:val="18"/>
          <w:color w:val="1C1C1C"/>
        </w:rPr>
        <w:t>the requirements</w:t>
      </w:r>
      <w:r>
        <w:rPr>
          <w:rFonts w:ascii="Arial" w:cs="Arial" w:eastAsia="Arial" w:hAnsi="Arial"/>
          <w:sz w:val="18"/>
          <w:szCs w:val="18"/>
          <w:color w:val="434343"/>
        </w:rPr>
        <w:t xml:space="preserve"> </w:t>
      </w:r>
      <w:r>
        <w:rPr>
          <w:rFonts w:ascii="Arial" w:cs="Arial" w:eastAsia="Arial" w:hAnsi="Arial"/>
          <w:sz w:val="18"/>
          <w:szCs w:val="18"/>
          <w:color w:val="2C2C2C"/>
        </w:rPr>
        <w:t>of such</w:t>
      </w:r>
      <w:r>
        <w:rPr>
          <w:rFonts w:ascii="Arial" w:cs="Arial" w:eastAsia="Arial" w:hAnsi="Arial"/>
          <w:sz w:val="18"/>
          <w:szCs w:val="18"/>
          <w:color w:val="434343"/>
        </w:rPr>
        <w:t xml:space="preserve"> prov</w:t>
      </w:r>
      <w:r>
        <w:rPr>
          <w:rFonts w:ascii="Arial" w:cs="Arial" w:eastAsia="Arial" w:hAnsi="Arial"/>
          <w:sz w:val="18"/>
          <w:szCs w:val="18"/>
          <w:color w:val="1C1C1C"/>
        </w:rPr>
        <w:t>is</w:t>
      </w:r>
      <w:r>
        <w:rPr>
          <w:rFonts w:ascii="Arial" w:cs="Arial" w:eastAsia="Arial" w:hAnsi="Arial"/>
          <w:sz w:val="18"/>
          <w:szCs w:val="18"/>
          <w:color w:val="434343"/>
        </w:rPr>
        <w:t xml:space="preserve">ion. </w:t>
      </w:r>
      <w:r>
        <w:rPr>
          <w:rFonts w:ascii="Arial" w:cs="Arial" w:eastAsia="Arial" w:hAnsi="Arial"/>
          <w:sz w:val="18"/>
          <w:szCs w:val="18"/>
          <w:color w:val="2C2C2C"/>
        </w:rPr>
        <w:t>After the</w:t>
      </w:r>
      <w:r>
        <w:rPr>
          <w:rFonts w:ascii="Arial" w:cs="Arial" w:eastAsia="Arial" w:hAnsi="Arial"/>
          <w:sz w:val="18"/>
          <w:szCs w:val="18"/>
          <w:color w:val="434343"/>
        </w:rPr>
        <w:t xml:space="preserve"> </w:t>
      </w:r>
      <w:r>
        <w:rPr>
          <w:rFonts w:ascii="Arial" w:cs="Arial" w:eastAsia="Arial" w:hAnsi="Arial"/>
          <w:sz w:val="18"/>
          <w:szCs w:val="18"/>
          <w:color w:val="1C1C1C"/>
        </w:rPr>
        <w:t>Ter</w:t>
      </w:r>
      <w:r>
        <w:rPr>
          <w:rFonts w:ascii="Arial" w:cs="Arial" w:eastAsia="Arial" w:hAnsi="Arial"/>
          <w:sz w:val="18"/>
          <w:szCs w:val="18"/>
          <w:color w:val="434343"/>
        </w:rPr>
        <w:t xml:space="preserve">mination </w:t>
      </w:r>
      <w:r>
        <w:rPr>
          <w:rFonts w:ascii="Arial" w:cs="Arial" w:eastAsia="Arial" w:hAnsi="Arial"/>
          <w:sz w:val="18"/>
          <w:szCs w:val="18"/>
          <w:color w:val="1C1C1C"/>
        </w:rPr>
        <w:t>Date</w:t>
      </w:r>
      <w:r>
        <w:rPr>
          <w:rFonts w:ascii="Arial" w:cs="Arial" w:eastAsia="Arial" w:hAnsi="Arial"/>
          <w:sz w:val="18"/>
          <w:szCs w:val="18"/>
          <w:color w:val="646464"/>
        </w:rPr>
        <w:t>,</w:t>
      </w:r>
      <w:r>
        <w:rPr>
          <w:rFonts w:ascii="Arial" w:cs="Arial" w:eastAsia="Arial" w:hAnsi="Arial"/>
          <w:sz w:val="18"/>
          <w:szCs w:val="18"/>
          <w:color w:val="434343"/>
        </w:rPr>
        <w:t xml:space="preserve"> </w:t>
      </w:r>
      <w:r>
        <w:rPr>
          <w:rFonts w:ascii="Arial" w:cs="Arial" w:eastAsia="Arial" w:hAnsi="Arial"/>
          <w:sz w:val="18"/>
          <w:szCs w:val="18"/>
          <w:color w:val="2C2C2C"/>
        </w:rPr>
        <w:t xml:space="preserve">you </w:t>
      </w:r>
      <w:r>
        <w:rPr>
          <w:rFonts w:ascii="Arial" w:cs="Arial" w:eastAsia="Arial" w:hAnsi="Arial"/>
          <w:sz w:val="18"/>
          <w:szCs w:val="18"/>
          <w:color w:val="1C1C1C"/>
        </w:rPr>
        <w:t>shall have no</w:t>
      </w:r>
      <w:r>
        <w:rPr>
          <w:rFonts w:ascii="Arial" w:cs="Arial" w:eastAsia="Arial" w:hAnsi="Arial"/>
          <w:sz w:val="18"/>
          <w:szCs w:val="18"/>
          <w:color w:val="2C2C2C"/>
        </w:rPr>
        <w:t xml:space="preserve"> duties or </w:t>
      </w:r>
      <w:r>
        <w:rPr>
          <w:rFonts w:ascii="Arial" w:cs="Arial" w:eastAsia="Arial" w:hAnsi="Arial"/>
          <w:sz w:val="18"/>
          <w:szCs w:val="18"/>
          <w:color w:val="1C1C1C"/>
        </w:rPr>
        <w:t>responsibilities</w:t>
      </w:r>
      <w:r>
        <w:rPr>
          <w:rFonts w:ascii="Arial" w:cs="Arial" w:eastAsia="Arial" w:hAnsi="Arial"/>
          <w:sz w:val="18"/>
          <w:szCs w:val="18"/>
          <w:color w:val="2C2C2C"/>
        </w:rPr>
        <w:t xml:space="preserve"> that </w:t>
      </w:r>
      <w:r>
        <w:rPr>
          <w:rFonts w:ascii="Arial" w:cs="Arial" w:eastAsia="Arial" w:hAnsi="Arial"/>
          <w:sz w:val="18"/>
          <w:szCs w:val="18"/>
          <w:color w:val="1C1C1C"/>
        </w:rPr>
        <w:t>are inconsistent</w:t>
      </w:r>
      <w:r>
        <w:rPr>
          <w:rFonts w:ascii="Arial" w:cs="Arial" w:eastAsia="Arial" w:hAnsi="Arial"/>
          <w:sz w:val="18"/>
          <w:szCs w:val="18"/>
          <w:color w:val="2C2C2C"/>
        </w:rPr>
        <w:t xml:space="preserve"> with </w:t>
      </w:r>
      <w:r>
        <w:rPr>
          <w:rFonts w:ascii="Arial" w:cs="Arial" w:eastAsia="Arial" w:hAnsi="Arial"/>
          <w:sz w:val="18"/>
          <w:szCs w:val="18"/>
          <w:color w:val="1C1C1C"/>
        </w:rPr>
        <w:t>hav</w:t>
      </w:r>
      <w:r>
        <w:rPr>
          <w:rFonts w:ascii="Arial" w:cs="Arial" w:eastAsia="Arial" w:hAnsi="Arial"/>
          <w:sz w:val="18"/>
          <w:szCs w:val="18"/>
          <w:color w:val="434343"/>
        </w:rPr>
        <w:t>i</w:t>
      </w:r>
      <w:r>
        <w:rPr>
          <w:rFonts w:ascii="Arial" w:cs="Arial" w:eastAsia="Arial" w:hAnsi="Arial"/>
          <w:sz w:val="18"/>
          <w:szCs w:val="18"/>
          <w:color w:val="1C1C1C"/>
        </w:rPr>
        <w:t>ng</w:t>
      </w:r>
      <w:r>
        <w:rPr>
          <w:rFonts w:ascii="Arial" w:cs="Arial" w:eastAsia="Arial" w:hAnsi="Arial"/>
          <w:sz w:val="18"/>
          <w:szCs w:val="18"/>
          <w:color w:val="2C2C2C"/>
        </w:rPr>
        <w:t xml:space="preserve"> a </w:t>
      </w:r>
      <w:r>
        <w:rPr>
          <w:rFonts w:ascii="Arial" w:cs="Arial" w:eastAsia="Arial" w:hAnsi="Arial"/>
          <w:sz w:val="18"/>
          <w:szCs w:val="18"/>
          <w:color w:val="646464"/>
        </w:rPr>
        <w:t>“</w:t>
      </w:r>
      <w:r>
        <w:rPr>
          <w:rFonts w:ascii="Arial" w:cs="Arial" w:eastAsia="Arial" w:hAnsi="Arial"/>
          <w:sz w:val="18"/>
          <w:szCs w:val="18"/>
          <w:color w:val="2C2C2C"/>
        </w:rPr>
        <w:t xml:space="preserve">separation </w:t>
      </w:r>
      <w:r>
        <w:rPr>
          <w:rFonts w:ascii="Arial" w:cs="Arial" w:eastAsia="Arial" w:hAnsi="Arial"/>
          <w:sz w:val="18"/>
          <w:szCs w:val="18"/>
          <w:color w:val="1C1C1C"/>
        </w:rPr>
        <w:t>from</w:t>
      </w:r>
      <w:r>
        <w:rPr>
          <w:rFonts w:ascii="Arial" w:cs="Arial" w:eastAsia="Arial" w:hAnsi="Arial"/>
          <w:sz w:val="18"/>
          <w:szCs w:val="18"/>
          <w:color w:val="2C2C2C"/>
        </w:rPr>
        <w:t xml:space="preserve"> service</w:t>
      </w:r>
      <w:r>
        <w:rPr>
          <w:rFonts w:ascii="Arial" w:cs="Arial" w:eastAsia="Arial" w:hAnsi="Arial"/>
          <w:sz w:val="18"/>
          <w:szCs w:val="18"/>
          <w:color w:val="646464"/>
        </w:rPr>
        <w:t>”</w:t>
      </w:r>
      <w:r>
        <w:rPr>
          <w:rFonts w:ascii="Arial" w:cs="Arial" w:eastAsia="Arial" w:hAnsi="Arial"/>
          <w:sz w:val="18"/>
          <w:szCs w:val="18"/>
          <w:color w:val="2C2C2C"/>
        </w:rPr>
        <w:t xml:space="preserve"> (within the meaning of Section 409A) as of </w:t>
      </w:r>
      <w:r>
        <w:rPr>
          <w:rFonts w:ascii="Arial" w:cs="Arial" w:eastAsia="Arial" w:hAnsi="Arial"/>
          <w:sz w:val="18"/>
          <w:szCs w:val="18"/>
          <w:color w:val="1C1C1C"/>
        </w:rPr>
        <w:t>the Termination Date</w:t>
      </w:r>
      <w:r>
        <w:rPr>
          <w:rFonts w:ascii="Arial" w:cs="Arial" w:eastAsia="Arial" w:hAnsi="Arial"/>
          <w:sz w:val="18"/>
          <w:szCs w:val="18"/>
          <w:color w:val="2C2C2C"/>
        </w:rPr>
        <w:t xml:space="preserve"> and, </w:t>
      </w:r>
      <w:r>
        <w:rPr>
          <w:rFonts w:ascii="Arial" w:cs="Arial" w:eastAsia="Arial" w:hAnsi="Arial"/>
          <w:sz w:val="18"/>
          <w:szCs w:val="18"/>
          <w:color w:val="1C1C1C"/>
        </w:rPr>
        <w:t>notw</w:t>
      </w:r>
      <w:r>
        <w:rPr>
          <w:rFonts w:ascii="Arial" w:cs="Arial" w:eastAsia="Arial" w:hAnsi="Arial"/>
          <w:sz w:val="18"/>
          <w:szCs w:val="18"/>
          <w:color w:val="434343"/>
        </w:rPr>
        <w:t>ithstandi</w:t>
      </w:r>
      <w:r>
        <w:rPr>
          <w:rFonts w:ascii="Arial" w:cs="Arial" w:eastAsia="Arial" w:hAnsi="Arial"/>
          <w:sz w:val="18"/>
          <w:szCs w:val="18"/>
          <w:color w:val="1C1C1C"/>
        </w:rPr>
        <w:t>ng</w:t>
      </w:r>
      <w:r>
        <w:rPr>
          <w:rFonts w:ascii="Arial" w:cs="Arial" w:eastAsia="Arial" w:hAnsi="Arial"/>
          <w:sz w:val="18"/>
          <w:szCs w:val="18"/>
          <w:color w:val="2C2C2C"/>
        </w:rPr>
        <w:t xml:space="preserve"> anything </w:t>
      </w:r>
      <w:r>
        <w:rPr>
          <w:rFonts w:ascii="Arial" w:cs="Arial" w:eastAsia="Arial" w:hAnsi="Arial"/>
          <w:sz w:val="18"/>
          <w:szCs w:val="18"/>
          <w:color w:val="434343"/>
        </w:rPr>
        <w:t>in</w:t>
      </w:r>
      <w:r>
        <w:rPr>
          <w:rFonts w:ascii="Arial" w:cs="Arial" w:eastAsia="Arial" w:hAnsi="Arial"/>
          <w:sz w:val="18"/>
          <w:szCs w:val="18"/>
          <w:color w:val="2C2C2C"/>
        </w:rPr>
        <w:t xml:space="preserve"> </w:t>
      </w:r>
      <w:r>
        <w:rPr>
          <w:rFonts w:ascii="Arial" w:cs="Arial" w:eastAsia="Arial" w:hAnsi="Arial"/>
          <w:sz w:val="18"/>
          <w:szCs w:val="18"/>
          <w:color w:val="1C1C1C"/>
        </w:rPr>
        <w:t>the</w:t>
      </w:r>
      <w:r>
        <w:rPr>
          <w:rFonts w:ascii="Arial" w:cs="Arial" w:eastAsia="Arial" w:hAnsi="Arial"/>
          <w:sz w:val="18"/>
          <w:szCs w:val="18"/>
          <w:color w:val="2C2C2C"/>
        </w:rPr>
        <w:t xml:space="preserve"> Agreement </w:t>
      </w:r>
      <w:r>
        <w:rPr>
          <w:rFonts w:ascii="Arial" w:cs="Arial" w:eastAsia="Arial" w:hAnsi="Arial"/>
          <w:sz w:val="18"/>
          <w:szCs w:val="18"/>
          <w:color w:val="1C1C1C"/>
        </w:rPr>
        <w:t>to the</w:t>
      </w:r>
      <w:r>
        <w:rPr>
          <w:rFonts w:ascii="Arial" w:cs="Arial" w:eastAsia="Arial" w:hAnsi="Arial"/>
          <w:sz w:val="18"/>
          <w:szCs w:val="18"/>
          <w:color w:val="2C2C2C"/>
        </w:rPr>
        <w:t xml:space="preserve"> contrary, any distributions upon </w:t>
      </w:r>
      <w:r>
        <w:rPr>
          <w:rFonts w:ascii="Arial" w:cs="Arial" w:eastAsia="Arial" w:hAnsi="Arial"/>
          <w:sz w:val="18"/>
          <w:szCs w:val="18"/>
          <w:color w:val="1C1C1C"/>
        </w:rPr>
        <w:t>termination of</w:t>
      </w:r>
      <w:r>
        <w:rPr>
          <w:rFonts w:ascii="Arial" w:cs="Arial" w:eastAsia="Arial" w:hAnsi="Arial"/>
          <w:sz w:val="18"/>
          <w:szCs w:val="18"/>
          <w:color w:val="2C2C2C"/>
        </w:rPr>
        <w:t xml:space="preserve"> employment of nonqualified deferred compensation </w:t>
      </w:r>
      <w:r>
        <w:rPr>
          <w:rFonts w:ascii="Arial" w:cs="Arial" w:eastAsia="Arial" w:hAnsi="Arial"/>
          <w:sz w:val="18"/>
          <w:szCs w:val="18"/>
          <w:color w:val="1C1C1C"/>
        </w:rPr>
        <w:t>may</w:t>
      </w:r>
      <w:r>
        <w:rPr>
          <w:rFonts w:ascii="Arial" w:cs="Arial" w:eastAsia="Arial" w:hAnsi="Arial"/>
          <w:sz w:val="18"/>
          <w:szCs w:val="18"/>
          <w:color w:val="2C2C2C"/>
        </w:rPr>
        <w:t xml:space="preserve"> only be </w:t>
      </w:r>
      <w:r>
        <w:rPr>
          <w:rFonts w:ascii="Arial" w:cs="Arial" w:eastAsia="Arial" w:hAnsi="Arial"/>
          <w:sz w:val="18"/>
          <w:szCs w:val="18"/>
          <w:color w:val="1C1C1C"/>
        </w:rPr>
        <w:t>made upon</w:t>
      </w:r>
      <w:r>
        <w:rPr>
          <w:rFonts w:ascii="Arial" w:cs="Arial" w:eastAsia="Arial" w:hAnsi="Arial"/>
          <w:sz w:val="18"/>
          <w:szCs w:val="18"/>
          <w:color w:val="2C2C2C"/>
        </w:rPr>
        <w:t xml:space="preserve"> a </w:t>
      </w:r>
      <w:r>
        <w:rPr>
          <w:rFonts w:ascii="Arial" w:cs="Arial" w:eastAsia="Arial" w:hAnsi="Arial"/>
          <w:sz w:val="18"/>
          <w:szCs w:val="18"/>
          <w:color w:val="434343"/>
        </w:rPr>
        <w:t>“se</w:t>
      </w:r>
      <w:r>
        <w:rPr>
          <w:rFonts w:ascii="Arial" w:cs="Arial" w:eastAsia="Arial" w:hAnsi="Arial"/>
          <w:sz w:val="18"/>
          <w:szCs w:val="18"/>
          <w:color w:val="1C1C1C"/>
        </w:rPr>
        <w:t>paration</w:t>
      </w:r>
      <w:r>
        <w:rPr>
          <w:rFonts w:ascii="Arial" w:cs="Arial" w:eastAsia="Arial" w:hAnsi="Arial"/>
          <w:sz w:val="18"/>
          <w:szCs w:val="18"/>
          <w:color w:val="2C2C2C"/>
        </w:rPr>
        <w:t xml:space="preserve"> </w:t>
      </w:r>
      <w:r>
        <w:rPr>
          <w:rFonts w:ascii="Arial" w:cs="Arial" w:eastAsia="Arial" w:hAnsi="Arial"/>
          <w:sz w:val="18"/>
          <w:szCs w:val="18"/>
          <w:color w:val="1C1C1C"/>
        </w:rPr>
        <w:t xml:space="preserve">from </w:t>
      </w:r>
      <w:r>
        <w:rPr>
          <w:rFonts w:ascii="Arial" w:cs="Arial" w:eastAsia="Arial" w:hAnsi="Arial"/>
          <w:sz w:val="18"/>
          <w:szCs w:val="18"/>
          <w:color w:val="2C2C2C"/>
        </w:rPr>
        <w:t>service” (as</w:t>
      </w:r>
      <w:r>
        <w:rPr>
          <w:rFonts w:ascii="Arial" w:cs="Arial" w:eastAsia="Arial" w:hAnsi="Arial"/>
          <w:sz w:val="18"/>
          <w:szCs w:val="18"/>
          <w:color w:val="1C1C1C"/>
        </w:rPr>
        <w:t xml:space="preserve"> dete</w:t>
      </w:r>
      <w:r>
        <w:rPr>
          <w:rFonts w:ascii="Arial" w:cs="Arial" w:eastAsia="Arial" w:hAnsi="Arial"/>
          <w:sz w:val="18"/>
          <w:szCs w:val="18"/>
          <w:color w:val="434343"/>
        </w:rPr>
        <w:t>r</w:t>
      </w:r>
      <w:r>
        <w:rPr>
          <w:rFonts w:ascii="Arial" w:cs="Arial" w:eastAsia="Arial" w:hAnsi="Arial"/>
          <w:sz w:val="18"/>
          <w:szCs w:val="18"/>
          <w:color w:val="1C1C1C"/>
        </w:rPr>
        <w:t xml:space="preserve">mined under </w:t>
      </w:r>
      <w:r>
        <w:rPr>
          <w:rFonts w:ascii="Arial" w:cs="Arial" w:eastAsia="Arial" w:hAnsi="Arial"/>
          <w:sz w:val="18"/>
          <w:szCs w:val="18"/>
          <w:color w:val="2C2C2C"/>
        </w:rPr>
        <w:t>Section</w:t>
      </w:r>
      <w:r>
        <w:rPr>
          <w:rFonts w:ascii="Arial" w:cs="Arial" w:eastAsia="Arial" w:hAnsi="Arial"/>
          <w:sz w:val="18"/>
          <w:szCs w:val="18"/>
          <w:color w:val="1C1C1C"/>
        </w:rPr>
        <w:t xml:space="preserve"> </w:t>
      </w:r>
      <w:r>
        <w:rPr>
          <w:rFonts w:ascii="Arial" w:cs="Arial" w:eastAsia="Arial" w:hAnsi="Arial"/>
          <w:sz w:val="18"/>
          <w:szCs w:val="18"/>
          <w:color w:val="434343"/>
        </w:rPr>
        <w:t>409A)</w:t>
      </w:r>
      <w:r>
        <w:rPr>
          <w:rFonts w:ascii="Arial" w:cs="Arial" w:eastAsia="Arial" w:hAnsi="Arial"/>
          <w:sz w:val="18"/>
          <w:szCs w:val="18"/>
          <w:color w:val="1C1C1C"/>
        </w:rPr>
        <w:t xml:space="preserve"> </w:t>
      </w:r>
      <w:r>
        <w:rPr>
          <w:rFonts w:ascii="Arial" w:cs="Arial" w:eastAsia="Arial" w:hAnsi="Arial"/>
          <w:sz w:val="18"/>
          <w:szCs w:val="18"/>
          <w:color w:val="2C2C2C"/>
        </w:rPr>
        <w:t>and such</w:t>
      </w:r>
      <w:r>
        <w:rPr>
          <w:rFonts w:ascii="Arial" w:cs="Arial" w:eastAsia="Arial" w:hAnsi="Arial"/>
          <w:sz w:val="18"/>
          <w:szCs w:val="18"/>
          <w:color w:val="1C1C1C"/>
        </w:rPr>
        <w:t xml:space="preserve"> date </w:t>
      </w:r>
      <w:r>
        <w:rPr>
          <w:rFonts w:ascii="Arial" w:cs="Arial" w:eastAsia="Arial" w:hAnsi="Arial"/>
          <w:sz w:val="18"/>
          <w:szCs w:val="18"/>
          <w:color w:val="2C2C2C"/>
        </w:rPr>
        <w:t>shall be the Termination</w:t>
      </w:r>
      <w:r>
        <w:rPr>
          <w:rFonts w:ascii="Arial" w:cs="Arial" w:eastAsia="Arial" w:hAnsi="Arial"/>
          <w:sz w:val="18"/>
          <w:szCs w:val="18"/>
          <w:color w:val="1C1C1C"/>
        </w:rPr>
        <w:t xml:space="preserve"> Date for </w:t>
      </w:r>
      <w:r>
        <w:rPr>
          <w:rFonts w:ascii="Arial" w:cs="Arial" w:eastAsia="Arial" w:hAnsi="Arial"/>
          <w:sz w:val="18"/>
          <w:szCs w:val="18"/>
          <w:color w:val="2C2C2C"/>
        </w:rPr>
        <w:t>purposes of this</w:t>
      </w:r>
      <w:r>
        <w:rPr>
          <w:rFonts w:ascii="Arial" w:cs="Arial" w:eastAsia="Arial" w:hAnsi="Arial"/>
          <w:sz w:val="18"/>
          <w:szCs w:val="18"/>
          <w:color w:val="1C1C1C"/>
        </w:rPr>
        <w:t xml:space="preserve"> </w:t>
      </w:r>
      <w:r>
        <w:rPr>
          <w:rFonts w:ascii="Arial" w:cs="Arial" w:eastAsia="Arial" w:hAnsi="Arial"/>
          <w:sz w:val="18"/>
          <w:szCs w:val="18"/>
          <w:color w:val="2C2C2C"/>
        </w:rPr>
        <w:t xml:space="preserve">Agreement. </w:t>
      </w:r>
      <w:r>
        <w:rPr>
          <w:rFonts w:ascii="Arial" w:cs="Arial" w:eastAsia="Arial" w:hAnsi="Arial"/>
          <w:sz w:val="18"/>
          <w:szCs w:val="18"/>
          <w:color w:val="1C1C1C"/>
        </w:rPr>
        <w:t>Each</w:t>
      </w:r>
      <w:r>
        <w:rPr>
          <w:rFonts w:ascii="Arial" w:cs="Arial" w:eastAsia="Arial" w:hAnsi="Arial"/>
          <w:sz w:val="18"/>
          <w:szCs w:val="18"/>
          <w:color w:val="2C2C2C"/>
        </w:rPr>
        <w:t xml:space="preserve"> payment under this Agreement or otherwise shall be </w:t>
      </w:r>
      <w:r>
        <w:rPr>
          <w:rFonts w:ascii="Arial" w:cs="Arial" w:eastAsia="Arial" w:hAnsi="Arial"/>
          <w:sz w:val="18"/>
          <w:szCs w:val="18"/>
          <w:color w:val="1C1C1C"/>
        </w:rPr>
        <w:t>treated</w:t>
      </w:r>
      <w:r>
        <w:rPr>
          <w:rFonts w:ascii="Arial" w:cs="Arial" w:eastAsia="Arial" w:hAnsi="Arial"/>
          <w:sz w:val="18"/>
          <w:szCs w:val="18"/>
          <w:color w:val="2C2C2C"/>
        </w:rPr>
        <w:t xml:space="preserve"> as a separate payment for purposes of Section 409A. </w:t>
      </w:r>
      <w:r>
        <w:rPr>
          <w:rFonts w:ascii="Arial" w:cs="Arial" w:eastAsia="Arial" w:hAnsi="Arial"/>
          <w:sz w:val="18"/>
          <w:szCs w:val="18"/>
          <w:color w:val="1C1C1C"/>
        </w:rPr>
        <w:t>In no</w:t>
      </w:r>
      <w:r>
        <w:rPr>
          <w:rFonts w:ascii="Arial" w:cs="Arial" w:eastAsia="Arial" w:hAnsi="Arial"/>
          <w:sz w:val="18"/>
          <w:szCs w:val="18"/>
          <w:color w:val="2C2C2C"/>
        </w:rPr>
        <w:t xml:space="preserve"> event </w:t>
      </w:r>
      <w:r>
        <w:rPr>
          <w:rFonts w:ascii="Arial" w:cs="Arial" w:eastAsia="Arial" w:hAnsi="Arial"/>
          <w:sz w:val="18"/>
          <w:szCs w:val="18"/>
          <w:color w:val="1C1C1C"/>
        </w:rPr>
        <w:t>may</w:t>
      </w:r>
      <w:r>
        <w:rPr>
          <w:rFonts w:ascii="Arial" w:cs="Arial" w:eastAsia="Arial" w:hAnsi="Arial"/>
          <w:sz w:val="18"/>
          <w:szCs w:val="18"/>
          <w:color w:val="2C2C2C"/>
        </w:rPr>
        <w:t xml:space="preserve"> you, directly or </w:t>
      </w:r>
      <w:r>
        <w:rPr>
          <w:rFonts w:ascii="Arial" w:cs="Arial" w:eastAsia="Arial" w:hAnsi="Arial"/>
          <w:sz w:val="18"/>
          <w:szCs w:val="18"/>
          <w:color w:val="1C1C1C"/>
        </w:rPr>
        <w:t>indirectly</w:t>
      </w:r>
      <w:r>
        <w:rPr>
          <w:rFonts w:ascii="Arial" w:cs="Arial" w:eastAsia="Arial" w:hAnsi="Arial"/>
          <w:sz w:val="18"/>
          <w:szCs w:val="18"/>
          <w:color w:val="434343"/>
        </w:rPr>
        <w:t>,</w:t>
      </w:r>
      <w:r>
        <w:rPr>
          <w:rFonts w:ascii="Arial" w:cs="Arial" w:eastAsia="Arial" w:hAnsi="Arial"/>
          <w:sz w:val="18"/>
          <w:szCs w:val="18"/>
          <w:color w:val="2C2C2C"/>
        </w:rPr>
        <w:t xml:space="preserve"> </w:t>
      </w:r>
      <w:r>
        <w:rPr>
          <w:rFonts w:ascii="Arial" w:cs="Arial" w:eastAsia="Arial" w:hAnsi="Arial"/>
          <w:sz w:val="18"/>
          <w:szCs w:val="18"/>
          <w:color w:val="1C1C1C"/>
        </w:rPr>
        <w:t>designate the</w:t>
      </w:r>
      <w:r>
        <w:rPr>
          <w:rFonts w:ascii="Arial" w:cs="Arial" w:eastAsia="Arial" w:hAnsi="Arial"/>
          <w:sz w:val="18"/>
          <w:szCs w:val="18"/>
          <w:color w:val="2C2C2C"/>
        </w:rPr>
        <w:t xml:space="preserve"> calendar year of any </w:t>
      </w:r>
      <w:r>
        <w:rPr>
          <w:rFonts w:ascii="Arial" w:cs="Arial" w:eastAsia="Arial" w:hAnsi="Arial"/>
          <w:sz w:val="18"/>
          <w:szCs w:val="18"/>
          <w:color w:val="1C1C1C"/>
        </w:rPr>
        <w:t>payment to be</w:t>
      </w:r>
      <w:r>
        <w:rPr>
          <w:rFonts w:ascii="Arial" w:cs="Arial" w:eastAsia="Arial" w:hAnsi="Arial"/>
          <w:sz w:val="18"/>
          <w:szCs w:val="18"/>
          <w:color w:val="2C2C2C"/>
        </w:rPr>
        <w:t xml:space="preserve"> made under </w:t>
      </w:r>
      <w:r>
        <w:rPr>
          <w:rFonts w:ascii="Arial" w:cs="Arial" w:eastAsia="Arial" w:hAnsi="Arial"/>
          <w:sz w:val="18"/>
          <w:szCs w:val="18"/>
          <w:color w:val="1C1C1C"/>
        </w:rPr>
        <w:t>th</w:t>
      </w:r>
      <w:r>
        <w:rPr>
          <w:rFonts w:ascii="Arial" w:cs="Arial" w:eastAsia="Arial" w:hAnsi="Arial"/>
          <w:sz w:val="18"/>
          <w:szCs w:val="18"/>
          <w:color w:val="434343"/>
        </w:rPr>
        <w:t>is</w:t>
      </w:r>
      <w:r>
        <w:rPr>
          <w:rFonts w:ascii="Arial" w:cs="Arial" w:eastAsia="Arial" w:hAnsi="Arial"/>
          <w:sz w:val="18"/>
          <w:szCs w:val="18"/>
          <w:color w:val="2C2C2C"/>
        </w:rPr>
        <w:t xml:space="preserve"> Agreement which </w:t>
      </w:r>
      <w:r>
        <w:rPr>
          <w:rFonts w:ascii="Arial" w:cs="Arial" w:eastAsia="Arial" w:hAnsi="Arial"/>
          <w:sz w:val="18"/>
          <w:szCs w:val="18"/>
          <w:color w:val="141414"/>
        </w:rPr>
        <w:t>constitutes a</w:t>
      </w:r>
      <w:r>
        <w:rPr>
          <w:rFonts w:ascii="Arial" w:cs="Arial" w:eastAsia="Arial" w:hAnsi="Arial"/>
          <w:sz w:val="18"/>
          <w:szCs w:val="18"/>
          <w:color w:val="2C2C2C"/>
        </w:rPr>
        <w:t xml:space="preserve"> </w:t>
      </w:r>
      <w:r>
        <w:rPr>
          <w:rFonts w:ascii="Arial" w:cs="Arial" w:eastAsia="Arial" w:hAnsi="Arial"/>
          <w:sz w:val="18"/>
          <w:szCs w:val="18"/>
          <w:color w:val="292929"/>
        </w:rPr>
        <w:t>“nonqualified</w:t>
      </w:r>
      <w:r>
        <w:rPr>
          <w:rFonts w:ascii="Arial" w:cs="Arial" w:eastAsia="Arial" w:hAnsi="Arial"/>
          <w:sz w:val="18"/>
          <w:szCs w:val="18"/>
          <w:color w:val="2C2C2C"/>
        </w:rPr>
        <w:t xml:space="preserve"> </w:t>
      </w:r>
      <w:r>
        <w:rPr>
          <w:rFonts w:ascii="Arial" w:cs="Arial" w:eastAsia="Arial" w:hAnsi="Arial"/>
          <w:sz w:val="18"/>
          <w:szCs w:val="18"/>
          <w:color w:val="141414"/>
        </w:rPr>
        <w:t>deferral of compensation</w:t>
      </w:r>
      <w:r>
        <w:rPr>
          <w:rFonts w:ascii="Arial" w:cs="Arial" w:eastAsia="Arial" w:hAnsi="Arial"/>
          <w:sz w:val="18"/>
          <w:szCs w:val="18"/>
          <w:color w:val="393939"/>
        </w:rPr>
        <w:t>”</w:t>
      </w:r>
      <w:r>
        <w:rPr>
          <w:rFonts w:ascii="Arial" w:cs="Arial" w:eastAsia="Arial" w:hAnsi="Arial"/>
          <w:sz w:val="18"/>
          <w:szCs w:val="18"/>
          <w:color w:val="2C2C2C"/>
        </w:rPr>
        <w:t xml:space="preserve"> </w:t>
      </w:r>
      <w:r>
        <w:rPr>
          <w:rFonts w:ascii="Arial" w:cs="Arial" w:eastAsia="Arial" w:hAnsi="Arial"/>
          <w:sz w:val="18"/>
          <w:szCs w:val="18"/>
          <w:color w:val="141414"/>
        </w:rPr>
        <w:t>(within the meaning of Section 409A) and to the</w:t>
      </w:r>
      <w:r>
        <w:rPr>
          <w:rFonts w:ascii="Arial" w:cs="Arial" w:eastAsia="Arial" w:hAnsi="Arial"/>
          <w:sz w:val="18"/>
          <w:szCs w:val="18"/>
          <w:color w:val="2C2C2C"/>
        </w:rPr>
        <w:t xml:space="preserve"> </w:t>
      </w:r>
      <w:r>
        <w:rPr>
          <w:rFonts w:ascii="Arial" w:cs="Arial" w:eastAsia="Arial" w:hAnsi="Arial"/>
          <w:sz w:val="18"/>
          <w:szCs w:val="18"/>
          <w:color w:val="141414"/>
        </w:rPr>
        <w:t>extent an amount is payable within a time period</w:t>
      </w:r>
      <w:r>
        <w:rPr>
          <w:rFonts w:ascii="Arial" w:cs="Arial" w:eastAsia="Arial" w:hAnsi="Arial"/>
          <w:sz w:val="18"/>
          <w:szCs w:val="18"/>
          <w:color w:val="393939"/>
        </w:rPr>
        <w:t>,</w:t>
      </w:r>
      <w:r>
        <w:rPr>
          <w:rFonts w:ascii="Arial" w:cs="Arial" w:eastAsia="Arial" w:hAnsi="Arial"/>
          <w:sz w:val="18"/>
          <w:szCs w:val="18"/>
          <w:color w:val="141414"/>
        </w:rPr>
        <w:t xml:space="preserve"> the time during which such amount is paid shall be in the discretion of the Company. To the extent that any reimbursements are taxable to you, any such reimbursement payment due to you shall be paid to you on or before the last day of the calendar year following the taxable year in which the related expense was incurred</w:t>
      </w:r>
      <w:r>
        <w:rPr>
          <w:rFonts w:ascii="Arial" w:cs="Arial" w:eastAsia="Arial" w:hAnsi="Arial"/>
          <w:sz w:val="18"/>
          <w:szCs w:val="18"/>
          <w:color w:val="393939"/>
        </w:rPr>
        <w:t>.</w:t>
      </w:r>
      <w:r>
        <w:rPr>
          <w:rFonts w:ascii="Arial" w:cs="Arial" w:eastAsia="Arial" w:hAnsi="Arial"/>
          <w:sz w:val="18"/>
          <w:szCs w:val="18"/>
          <w:color w:val="141414"/>
        </w:rPr>
        <w:t xml:space="preserve"> The reimbursements are not subject to liquidation or exchange for another benefit and the amount of such reimbursements that you receive in one taxable year shall not affect the amount of such reimbursements that you receive in any other taxable year. </w:t>
      </w:r>
      <w:r>
        <w:rPr>
          <w:rFonts w:ascii="Arial" w:cs="Arial" w:eastAsia="Arial" w:hAnsi="Arial"/>
          <w:sz w:val="18"/>
          <w:szCs w:val="18"/>
          <w:color w:val="000000"/>
        </w:rPr>
        <w:t>Notwithstanding any provision to the contrary in this Agreement, if you are deemed at the time of</w:t>
      </w:r>
      <w:r>
        <w:rPr>
          <w:rFonts w:ascii="Arial" w:cs="Arial" w:eastAsia="Arial" w:hAnsi="Arial"/>
          <w:sz w:val="18"/>
          <w:szCs w:val="18"/>
          <w:color w:val="141414"/>
        </w:rPr>
        <w:t xml:space="preserve"> </w:t>
      </w:r>
      <w:r>
        <w:rPr>
          <w:rFonts w:ascii="Arial" w:cs="Arial" w:eastAsia="Arial" w:hAnsi="Arial"/>
          <w:sz w:val="18"/>
          <w:szCs w:val="18"/>
          <w:color w:val="000000"/>
        </w:rPr>
        <w:t>your separation from service to be a “specified employee” for purposes of Section 409A(a)(2)(B)(i) of the Code, to the extent delayed commencement of any portion of the termination benefits to which you are entitled under this Agreement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3" w:right="999" w:bottom="1440" w:gutter="0" w:footer="0" w:header="0"/>
        </w:sectPr>
      </w:pPr>
    </w:p>
    <w:bookmarkStart w:id="71" w:name="page72"/>
    <w:bookmarkEnd w:id="71"/>
    <w:p>
      <w:pPr>
        <w:jc w:val="both"/>
        <w:spacing w:after="0" w:line="244" w:lineRule="auto"/>
        <w:rPr>
          <w:sz w:val="20"/>
          <w:szCs w:val="20"/>
          <w:color w:val="auto"/>
        </w:rPr>
      </w:pPr>
      <w:r>
        <w:rPr>
          <w:rFonts w:ascii="Arial" w:cs="Arial" w:eastAsia="Arial" w:hAnsi="Arial"/>
          <w:sz w:val="18"/>
          <w:szCs w:val="18"/>
          <w:color w:val="auto"/>
        </w:rPr>
        <w:t>required in order to avoid a prohibited distribution under Section 409A(a)(2)(B)(i) of the Code, such portion of your termination benefits shall not be provided to you prior to the earlier of (A) the expiration of the six-month period measured from the date of your “separation from service” with the Company or (B) the date of your death; upon the earlier of such dates, all payments deferred pursuant to this sentence shall be paid in a lump sum to you, and any remaining payments due under the Agreement shall be paid as otherwise provided herein.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Assignment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41414"/>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w:t>
      </w:r>
      <w:r>
        <w:rPr>
          <w:rFonts w:ascii="Arial" w:cs="Arial" w:eastAsia="Arial" w:hAnsi="Arial"/>
          <w:sz w:val="18"/>
          <w:szCs w:val="18"/>
          <w:color w:val="393939"/>
        </w:rPr>
        <w:t>.</w:t>
      </w:r>
      <w:r>
        <w:rPr>
          <w:rFonts w:ascii="Arial" w:cs="Arial" w:eastAsia="Arial" w:hAnsi="Arial"/>
          <w:sz w:val="18"/>
          <w:szCs w:val="18"/>
          <w:color w:val="141414"/>
        </w:rPr>
        <w:t xml:space="preserve"> You may not assign your rights or obligations to another </w:t>
      </w:r>
      <w:r>
        <w:rPr>
          <w:rFonts w:ascii="Arial" w:cs="Arial" w:eastAsia="Arial" w:hAnsi="Arial"/>
          <w:sz w:val="18"/>
          <w:szCs w:val="18"/>
          <w:color w:val="292929"/>
        </w:rPr>
        <w:t>entity</w:t>
      </w:r>
      <w:r>
        <w:rPr>
          <w:rFonts w:ascii="Arial" w:cs="Arial" w:eastAsia="Arial" w:hAnsi="Arial"/>
          <w:sz w:val="18"/>
          <w:szCs w:val="18"/>
          <w:color w:val="141414"/>
        </w:rPr>
        <w:t xml:space="preserve"> or person.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Indemnification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41414"/>
        </w:rPr>
        <w:t>You shall be entitled to indemnification to the maximum e</w:t>
      </w:r>
      <w:r>
        <w:rPr>
          <w:rFonts w:ascii="Arial" w:cs="Arial" w:eastAsia="Arial" w:hAnsi="Arial"/>
          <w:sz w:val="18"/>
          <w:szCs w:val="18"/>
          <w:color w:val="393939"/>
        </w:rPr>
        <w:t>x</w:t>
      </w:r>
      <w:r>
        <w:rPr>
          <w:rFonts w:ascii="Arial" w:cs="Arial" w:eastAsia="Arial" w:hAnsi="Arial"/>
          <w:sz w:val="18"/>
          <w:szCs w:val="18"/>
          <w:color w:val="141414"/>
        </w:rPr>
        <w:t>tent permitted by applicable law and the Company’s Articles of Incorporation or Bylaws, as applicable, subject to any applicable obligations therein (including, without limitation, any repayment obligations pursuant to Section 7.03 of the Bylaws) . At all times during your employment</w:t>
      </w:r>
      <w:r>
        <w:rPr>
          <w:rFonts w:ascii="Arial" w:cs="Arial" w:eastAsia="Arial" w:hAnsi="Arial"/>
          <w:sz w:val="18"/>
          <w:szCs w:val="18"/>
          <w:color w:val="393939"/>
        </w:rPr>
        <w:t>,</w:t>
      </w:r>
      <w:r>
        <w:rPr>
          <w:rFonts w:ascii="Arial" w:cs="Arial" w:eastAsia="Arial" w:hAnsi="Arial"/>
          <w:sz w:val="18"/>
          <w:szCs w:val="18"/>
          <w:color w:val="141414"/>
        </w:rPr>
        <w:t xml:space="preserve"> the Company shall maintain in effect a directors and officers liability insurance policy with you as a covered officer.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141414"/>
        </w:rPr>
        <w:t>Whistleblower Protections and Trade Secrets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41414"/>
        </w:rPr>
        <w:t>Notwithstanding any provision of this Agreement to the contrary, nothing prohibits you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 you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a trade secret that is made in a complaint or other document filed in a lawsuit or other proceeding, if such filing is made under seal; and (iii) if you file a lawsuit for retaliation by an employer for reporting a suspected violation of law, you may disclose the trade secret to your attorney and use the trade secret information in the court proceeding, if you file any document containing the trade secret under seal; and do not disclose the trade secret, except pursuant to court order.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Policy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acknowledge and agree that you will take all action necessary or appropriate to comply with the Company’s applicable clawback or compensation recovery policy (including, without limitation, entering into any further agreements, amendments or policies necessary or appropriate to implement and/or enforce such policy).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Miscellaneous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72727"/>
        </w:rPr>
        <w:t xml:space="preserve">This Agreement </w:t>
      </w:r>
      <w:r>
        <w:rPr>
          <w:rFonts w:ascii="Arial" w:cs="Arial" w:eastAsia="Arial" w:hAnsi="Arial"/>
          <w:sz w:val="18"/>
          <w:szCs w:val="18"/>
          <w:color w:val="151515"/>
        </w:rPr>
        <w:t>fo</w:t>
      </w:r>
      <w:r>
        <w:rPr>
          <w:rFonts w:ascii="Arial" w:cs="Arial" w:eastAsia="Arial" w:hAnsi="Arial"/>
          <w:sz w:val="18"/>
          <w:szCs w:val="18"/>
          <w:color w:val="3C3C3C"/>
        </w:rPr>
        <w:t>rms</w:t>
      </w:r>
      <w:r>
        <w:rPr>
          <w:rFonts w:ascii="Arial" w:cs="Arial" w:eastAsia="Arial" w:hAnsi="Arial"/>
          <w:sz w:val="18"/>
          <w:szCs w:val="18"/>
          <w:color w:val="272727"/>
        </w:rPr>
        <w:t xml:space="preserve"> </w:t>
      </w:r>
      <w:r>
        <w:rPr>
          <w:rFonts w:ascii="Arial" w:cs="Arial" w:eastAsia="Arial" w:hAnsi="Arial"/>
          <w:sz w:val="18"/>
          <w:szCs w:val="18"/>
          <w:color w:val="151515"/>
        </w:rPr>
        <w:t>the</w:t>
      </w:r>
      <w:r>
        <w:rPr>
          <w:rFonts w:ascii="Arial" w:cs="Arial" w:eastAsia="Arial" w:hAnsi="Arial"/>
          <w:sz w:val="18"/>
          <w:szCs w:val="18"/>
          <w:color w:val="272727"/>
        </w:rPr>
        <w:t xml:space="preserve"> complete and exclusive statement of your employment agreement with </w:t>
      </w:r>
      <w:r>
        <w:rPr>
          <w:rFonts w:ascii="Arial" w:cs="Arial" w:eastAsia="Arial" w:hAnsi="Arial"/>
          <w:sz w:val="18"/>
          <w:szCs w:val="18"/>
          <w:color w:val="151515"/>
        </w:rPr>
        <w:t>the Company. It</w:t>
      </w:r>
      <w:r>
        <w:rPr>
          <w:rFonts w:ascii="Arial" w:cs="Arial" w:eastAsia="Arial" w:hAnsi="Arial"/>
          <w:sz w:val="18"/>
          <w:szCs w:val="18"/>
          <w:color w:val="272727"/>
        </w:rPr>
        <w:t xml:space="preserve"> </w:t>
      </w:r>
      <w:r>
        <w:rPr>
          <w:rFonts w:ascii="Arial" w:cs="Arial" w:eastAsia="Arial" w:hAnsi="Arial"/>
          <w:sz w:val="18"/>
          <w:szCs w:val="18"/>
          <w:color w:val="151515"/>
        </w:rPr>
        <w:t xml:space="preserve">supersedes any other agreements or promises made to you by anyone, whether oral or written, including that certain Offer Letter entered into by and between you and the Company, dated as of September 20, 2021. </w:t>
      </w:r>
      <w:r>
        <w:rPr>
          <w:rFonts w:ascii="Arial" w:cs="Arial" w:eastAsia="Arial" w:hAnsi="Arial"/>
          <w:sz w:val="18"/>
          <w:szCs w:val="18"/>
          <w:color w:val="272727"/>
        </w:rPr>
        <w:t>Changes</w:t>
      </w:r>
      <w:r>
        <w:rPr>
          <w:rFonts w:ascii="Arial" w:cs="Arial" w:eastAsia="Arial" w:hAnsi="Arial"/>
          <w:sz w:val="18"/>
          <w:szCs w:val="18"/>
          <w:color w:val="151515"/>
        </w:rPr>
        <w:t xml:space="preserve"> in </w:t>
      </w:r>
      <w:r>
        <w:rPr>
          <w:rFonts w:ascii="Arial" w:cs="Arial" w:eastAsia="Arial" w:hAnsi="Arial"/>
          <w:sz w:val="18"/>
          <w:szCs w:val="18"/>
          <w:color w:val="3C3C3C"/>
        </w:rPr>
        <w:t>your</w:t>
      </w:r>
      <w:r>
        <w:rPr>
          <w:rFonts w:ascii="Arial" w:cs="Arial" w:eastAsia="Arial" w:hAnsi="Arial"/>
          <w:sz w:val="18"/>
          <w:szCs w:val="18"/>
          <w:color w:val="151515"/>
        </w:rPr>
        <w:t xml:space="preserve"> </w:t>
      </w:r>
      <w:r>
        <w:rPr>
          <w:rFonts w:ascii="Arial" w:cs="Arial" w:eastAsia="Arial" w:hAnsi="Arial"/>
          <w:sz w:val="18"/>
          <w:szCs w:val="18"/>
          <w:color w:val="272727"/>
        </w:rPr>
        <w:t>employment</w:t>
      </w:r>
      <w:r>
        <w:rPr>
          <w:rFonts w:ascii="Arial" w:cs="Arial" w:eastAsia="Arial" w:hAnsi="Arial"/>
          <w:sz w:val="18"/>
          <w:szCs w:val="18"/>
          <w:color w:val="151515"/>
        </w:rPr>
        <w:t xml:space="preserve"> </w:t>
      </w:r>
      <w:r>
        <w:rPr>
          <w:rFonts w:ascii="Arial" w:cs="Arial" w:eastAsia="Arial" w:hAnsi="Arial"/>
          <w:sz w:val="18"/>
          <w:szCs w:val="18"/>
          <w:color w:val="272727"/>
        </w:rPr>
        <w:t xml:space="preserve">terms, other </w:t>
      </w:r>
      <w:r>
        <w:rPr>
          <w:rFonts w:ascii="Arial" w:cs="Arial" w:eastAsia="Arial" w:hAnsi="Arial"/>
          <w:sz w:val="18"/>
          <w:szCs w:val="18"/>
          <w:color w:val="151515"/>
        </w:rPr>
        <w:t>than those</w:t>
      </w:r>
      <w:r>
        <w:rPr>
          <w:rFonts w:ascii="Arial" w:cs="Arial" w:eastAsia="Arial" w:hAnsi="Arial"/>
          <w:sz w:val="18"/>
          <w:szCs w:val="18"/>
          <w:color w:val="272727"/>
        </w:rPr>
        <w:t xml:space="preserve"> changes </w:t>
      </w:r>
      <w:r>
        <w:rPr>
          <w:rFonts w:ascii="Arial" w:cs="Arial" w:eastAsia="Arial" w:hAnsi="Arial"/>
          <w:sz w:val="18"/>
          <w:szCs w:val="18"/>
          <w:color w:val="151515"/>
        </w:rPr>
        <w:t>expressly reserved to</w:t>
      </w:r>
      <w:r>
        <w:rPr>
          <w:rFonts w:ascii="Arial" w:cs="Arial" w:eastAsia="Arial" w:hAnsi="Arial"/>
          <w:sz w:val="18"/>
          <w:szCs w:val="18"/>
          <w:color w:val="272727"/>
        </w:rPr>
        <w:t xml:space="preserve"> the Company’ </w:t>
      </w:r>
      <w:r>
        <w:rPr>
          <w:rFonts w:ascii="Arial" w:cs="Arial" w:eastAsia="Arial" w:hAnsi="Arial"/>
          <w:sz w:val="18"/>
          <w:szCs w:val="18"/>
          <w:color w:val="151515"/>
        </w:rPr>
        <w:t>discretion in</w:t>
      </w:r>
      <w:r>
        <w:rPr>
          <w:rFonts w:ascii="Arial" w:cs="Arial" w:eastAsia="Arial" w:hAnsi="Arial"/>
          <w:sz w:val="18"/>
          <w:szCs w:val="18"/>
          <w:color w:val="272727"/>
        </w:rPr>
        <w:t xml:space="preserve"> this Agreement, require a written </w:t>
      </w:r>
      <w:r>
        <w:rPr>
          <w:rFonts w:ascii="Arial" w:cs="Arial" w:eastAsia="Arial" w:hAnsi="Arial"/>
          <w:sz w:val="18"/>
          <w:szCs w:val="18"/>
          <w:color w:val="151515"/>
        </w:rPr>
        <w:t xml:space="preserve">modification </w:t>
      </w:r>
      <w:r>
        <w:rPr>
          <w:rFonts w:ascii="Arial" w:cs="Arial" w:eastAsia="Arial" w:hAnsi="Arial"/>
          <w:sz w:val="18"/>
          <w:szCs w:val="18"/>
          <w:color w:val="272727"/>
        </w:rPr>
        <w:t>approved by</w:t>
      </w:r>
      <w:r>
        <w:rPr>
          <w:rFonts w:ascii="Arial" w:cs="Arial" w:eastAsia="Arial" w:hAnsi="Arial"/>
          <w:sz w:val="18"/>
          <w:szCs w:val="18"/>
          <w:color w:val="151515"/>
        </w:rPr>
        <w:t xml:space="preserve"> the Company</w:t>
      </w:r>
      <w:r>
        <w:rPr>
          <w:rFonts w:ascii="Arial" w:cs="Arial" w:eastAsia="Arial" w:hAnsi="Arial"/>
          <w:sz w:val="18"/>
          <w:szCs w:val="18"/>
          <w:color w:val="3C3C3C"/>
        </w:rPr>
        <w:t>.</w:t>
      </w:r>
      <w:r>
        <w:rPr>
          <w:rFonts w:ascii="Arial" w:cs="Arial" w:eastAsia="Arial" w:hAnsi="Arial"/>
          <w:sz w:val="18"/>
          <w:szCs w:val="18"/>
          <w:color w:val="151515"/>
        </w:rPr>
        <w:t xml:space="preserve"> </w:t>
      </w:r>
      <w:r>
        <w:rPr>
          <w:rFonts w:ascii="Arial" w:cs="Arial" w:eastAsia="Arial" w:hAnsi="Arial"/>
          <w:sz w:val="18"/>
          <w:szCs w:val="18"/>
          <w:color w:val="272727"/>
        </w:rPr>
        <w:t>This Agreement will bind</w:t>
      </w:r>
      <w:r>
        <w:rPr>
          <w:rFonts w:ascii="Arial" w:cs="Arial" w:eastAsia="Arial" w:hAnsi="Arial"/>
          <w:sz w:val="18"/>
          <w:szCs w:val="18"/>
          <w:color w:val="151515"/>
        </w:rPr>
        <w:t xml:space="preserve"> the he</w:t>
      </w:r>
      <w:r>
        <w:rPr>
          <w:rFonts w:ascii="Arial" w:cs="Arial" w:eastAsia="Arial" w:hAnsi="Arial"/>
          <w:sz w:val="18"/>
          <w:szCs w:val="18"/>
          <w:color w:val="3C3C3C"/>
        </w:rPr>
        <w:t>irs,</w:t>
      </w:r>
      <w:r>
        <w:rPr>
          <w:rFonts w:ascii="Arial" w:cs="Arial" w:eastAsia="Arial" w:hAnsi="Arial"/>
          <w:sz w:val="18"/>
          <w:szCs w:val="18"/>
          <w:color w:val="151515"/>
        </w:rPr>
        <w:t xml:space="preserve"> </w:t>
      </w:r>
      <w:r>
        <w:rPr>
          <w:rFonts w:ascii="Arial" w:cs="Arial" w:eastAsia="Arial" w:hAnsi="Arial"/>
          <w:sz w:val="18"/>
          <w:szCs w:val="18"/>
          <w:color w:val="272727"/>
        </w:rPr>
        <w:t>personal representatives</w:t>
      </w:r>
      <w:r>
        <w:rPr>
          <w:rFonts w:ascii="Arial" w:cs="Arial" w:eastAsia="Arial" w:hAnsi="Arial"/>
          <w:sz w:val="18"/>
          <w:szCs w:val="18"/>
          <w:color w:val="525252"/>
        </w:rPr>
        <w:t>,</w:t>
      </w:r>
      <w:r>
        <w:rPr>
          <w:rFonts w:ascii="Arial" w:cs="Arial" w:eastAsia="Arial" w:hAnsi="Arial"/>
          <w:sz w:val="18"/>
          <w:szCs w:val="18"/>
          <w:color w:val="151515"/>
        </w:rPr>
        <w:t xml:space="preserve"> </w:t>
      </w:r>
      <w:r>
        <w:rPr>
          <w:rFonts w:ascii="Arial" w:cs="Arial" w:eastAsia="Arial" w:hAnsi="Arial"/>
          <w:sz w:val="18"/>
          <w:szCs w:val="18"/>
          <w:color w:val="272727"/>
        </w:rPr>
        <w:t>successors and</w:t>
      </w:r>
      <w:r>
        <w:rPr>
          <w:rFonts w:ascii="Arial" w:cs="Arial" w:eastAsia="Arial" w:hAnsi="Arial"/>
          <w:sz w:val="18"/>
          <w:szCs w:val="18"/>
          <w:color w:val="151515"/>
        </w:rPr>
        <w:t xml:space="preserve"> </w:t>
      </w:r>
      <w:r>
        <w:rPr>
          <w:rFonts w:ascii="Arial" w:cs="Arial" w:eastAsia="Arial" w:hAnsi="Arial"/>
          <w:sz w:val="18"/>
          <w:szCs w:val="18"/>
          <w:color w:val="272727"/>
        </w:rPr>
        <w:t xml:space="preserve">assigns of both you and </w:t>
      </w:r>
      <w:r>
        <w:rPr>
          <w:rFonts w:ascii="Arial" w:cs="Arial" w:eastAsia="Arial" w:hAnsi="Arial"/>
          <w:sz w:val="18"/>
          <w:szCs w:val="18"/>
          <w:color w:val="151515"/>
        </w:rPr>
        <w:t>the Company</w:t>
      </w:r>
      <w:r>
        <w:rPr>
          <w:rFonts w:ascii="Arial" w:cs="Arial" w:eastAsia="Arial" w:hAnsi="Arial"/>
          <w:sz w:val="18"/>
          <w:szCs w:val="18"/>
          <w:color w:val="3C3C3C"/>
        </w:rPr>
        <w:t>,</w:t>
      </w:r>
      <w:r>
        <w:rPr>
          <w:rFonts w:ascii="Arial" w:cs="Arial" w:eastAsia="Arial" w:hAnsi="Arial"/>
          <w:sz w:val="18"/>
          <w:szCs w:val="18"/>
          <w:color w:val="272727"/>
        </w:rPr>
        <w:t xml:space="preserve"> and inure to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579755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3" w:right="999" w:bottom="1440" w:gutter="0" w:footer="0" w:header="0"/>
        </w:sectPr>
      </w:pPr>
    </w:p>
    <w:bookmarkStart w:id="72" w:name="page73"/>
    <w:bookmarkEnd w:id="72"/>
    <w:p>
      <w:pPr>
        <w:jc w:val="both"/>
        <w:spacing w:after="0" w:line="235" w:lineRule="auto"/>
        <w:rPr>
          <w:sz w:val="20"/>
          <w:szCs w:val="20"/>
          <w:color w:val="auto"/>
        </w:rPr>
      </w:pPr>
      <w:r>
        <w:rPr>
          <w:rFonts w:ascii="Arial" w:cs="Arial" w:eastAsia="Arial" w:hAnsi="Arial"/>
          <w:sz w:val="17"/>
          <w:szCs w:val="17"/>
          <w:color w:val="262A31"/>
        </w:rPr>
        <w:t xml:space="preserve">both you and </w:t>
      </w:r>
      <w:r>
        <w:rPr>
          <w:rFonts w:ascii="Arial" w:cs="Arial" w:eastAsia="Arial" w:hAnsi="Arial"/>
          <w:sz w:val="17"/>
          <w:szCs w:val="17"/>
          <w:color w:val="3A3B41"/>
        </w:rPr>
        <w:t>the</w:t>
      </w:r>
      <w:r>
        <w:rPr>
          <w:rFonts w:ascii="Arial" w:cs="Arial" w:eastAsia="Arial" w:hAnsi="Arial"/>
          <w:sz w:val="17"/>
          <w:szCs w:val="17"/>
          <w:color w:val="262A31"/>
        </w:rPr>
        <w:t xml:space="preserve"> Company, their heirs, successors and assigns. If any provision of this Agreement is determined to be invalid or unenforceable</w:t>
      </w:r>
      <w:r>
        <w:rPr>
          <w:rFonts w:ascii="Arial" w:cs="Arial" w:eastAsia="Arial" w:hAnsi="Arial"/>
          <w:sz w:val="17"/>
          <w:szCs w:val="17"/>
          <w:color w:val="4F5457"/>
        </w:rPr>
        <w:t>,</w:t>
      </w:r>
      <w:r>
        <w:rPr>
          <w:rFonts w:ascii="Arial" w:cs="Arial" w:eastAsia="Arial" w:hAnsi="Arial"/>
          <w:sz w:val="17"/>
          <w:szCs w:val="17"/>
          <w:color w:val="262A31"/>
        </w:rPr>
        <w:t xml:space="preserve"> in whole or in part, this determination shall not affect any other provision of this Agreement and </w:t>
      </w:r>
      <w:r>
        <w:rPr>
          <w:rFonts w:ascii="Arial" w:cs="Arial" w:eastAsia="Arial" w:hAnsi="Arial"/>
          <w:sz w:val="17"/>
          <w:szCs w:val="17"/>
          <w:color w:val="3A3B41"/>
        </w:rPr>
        <w:t>the</w:t>
      </w:r>
      <w:r>
        <w:rPr>
          <w:rFonts w:ascii="Arial" w:cs="Arial" w:eastAsia="Arial" w:hAnsi="Arial"/>
          <w:sz w:val="17"/>
          <w:szCs w:val="17"/>
          <w:color w:val="262A31"/>
        </w:rPr>
        <w:t xml:space="preserve"> provision in question shall be modified so as to be rendered enforceable in a manner consistent with </w:t>
      </w:r>
      <w:r>
        <w:rPr>
          <w:rFonts w:ascii="Arial" w:cs="Arial" w:eastAsia="Arial" w:hAnsi="Arial"/>
          <w:sz w:val="17"/>
          <w:szCs w:val="17"/>
          <w:color w:val="3A3B41"/>
        </w:rPr>
        <w:t>the</w:t>
      </w:r>
      <w:r>
        <w:rPr>
          <w:rFonts w:ascii="Arial" w:cs="Arial" w:eastAsia="Arial" w:hAnsi="Arial"/>
          <w:sz w:val="17"/>
          <w:szCs w:val="17"/>
          <w:color w:val="262A31"/>
        </w:rPr>
        <w:t xml:space="preserve"> intent of </w:t>
      </w:r>
      <w:r>
        <w:rPr>
          <w:rFonts w:ascii="Arial" w:cs="Arial" w:eastAsia="Arial" w:hAnsi="Arial"/>
          <w:sz w:val="17"/>
          <w:szCs w:val="17"/>
          <w:color w:val="3A3B41"/>
        </w:rPr>
        <w:t>the</w:t>
      </w:r>
      <w:r>
        <w:rPr>
          <w:rFonts w:ascii="Arial" w:cs="Arial" w:eastAsia="Arial" w:hAnsi="Arial"/>
          <w:sz w:val="17"/>
          <w:szCs w:val="17"/>
          <w:color w:val="262A31"/>
        </w:rPr>
        <w:t xml:space="preserve"> parties insofar as possible under applicable law</w:t>
      </w:r>
      <w:r>
        <w:rPr>
          <w:rFonts w:ascii="Arial" w:cs="Arial" w:eastAsia="Arial" w:hAnsi="Arial"/>
          <w:sz w:val="17"/>
          <w:szCs w:val="17"/>
          <w:color w:val="4F5457"/>
        </w:rPr>
        <w:t>.</w:t>
      </w:r>
      <w:r>
        <w:rPr>
          <w:rFonts w:ascii="Arial" w:cs="Arial" w:eastAsia="Arial" w:hAnsi="Arial"/>
          <w:sz w:val="17"/>
          <w:szCs w:val="17"/>
          <w:color w:val="262A31"/>
        </w:rPr>
        <w:t xml:space="preserve"> This Agreement shall be construed and enforced in accordance with the laws of the State of Delaware without regard to conflicts of law principles</w:t>
      </w:r>
      <w:r>
        <w:rPr>
          <w:rFonts w:ascii="Arial" w:cs="Arial" w:eastAsia="Arial" w:hAnsi="Arial"/>
          <w:sz w:val="17"/>
          <w:szCs w:val="17"/>
          <w:color w:val="4F5457"/>
        </w:rPr>
        <w:t>.</w:t>
      </w:r>
      <w:r>
        <w:rPr>
          <w:rFonts w:ascii="Arial" w:cs="Arial" w:eastAsia="Arial" w:hAnsi="Arial"/>
          <w:sz w:val="17"/>
          <w:szCs w:val="17"/>
          <w:color w:val="262A31"/>
        </w:rPr>
        <w:t xml:space="preserve"> </w:t>
      </w:r>
      <w:r>
        <w:rPr>
          <w:rFonts w:ascii="Arial" w:cs="Arial" w:eastAsia="Arial" w:hAnsi="Arial"/>
          <w:sz w:val="17"/>
          <w:szCs w:val="17"/>
          <w:color w:val="3A3B41"/>
        </w:rPr>
        <w:t>Any</w:t>
      </w:r>
      <w:r>
        <w:rPr>
          <w:rFonts w:ascii="Arial" w:cs="Arial" w:eastAsia="Arial" w:hAnsi="Arial"/>
          <w:sz w:val="17"/>
          <w:szCs w:val="17"/>
          <w:color w:val="262A31"/>
        </w:rPr>
        <w:t xml:space="preserve"> dispute or controversy arising out of, relating to, or concerning any interpretation</w:t>
      </w:r>
      <w:r>
        <w:rPr>
          <w:rFonts w:ascii="Arial" w:cs="Arial" w:eastAsia="Arial" w:hAnsi="Arial"/>
          <w:sz w:val="17"/>
          <w:szCs w:val="17"/>
          <w:color w:val="4F5457"/>
        </w:rPr>
        <w:t>,</w:t>
      </w:r>
      <w:r>
        <w:rPr>
          <w:rFonts w:ascii="Arial" w:cs="Arial" w:eastAsia="Arial" w:hAnsi="Arial"/>
          <w:sz w:val="17"/>
          <w:szCs w:val="17"/>
          <w:color w:val="262A31"/>
        </w:rPr>
        <w:t xml:space="preserve"> performance or breach of </w:t>
      </w:r>
      <w:r>
        <w:rPr>
          <w:rFonts w:ascii="Arial" w:cs="Arial" w:eastAsia="Arial" w:hAnsi="Arial"/>
          <w:sz w:val="17"/>
          <w:szCs w:val="17"/>
          <w:color w:val="3A3B41"/>
        </w:rPr>
        <w:t>this</w:t>
      </w:r>
      <w:r>
        <w:rPr>
          <w:rFonts w:ascii="Arial" w:cs="Arial" w:eastAsia="Arial" w:hAnsi="Arial"/>
          <w:sz w:val="17"/>
          <w:szCs w:val="17"/>
          <w:color w:val="262A31"/>
        </w:rPr>
        <w:t xml:space="preserve"> Agreement will be settled by arbitration </w:t>
      </w:r>
      <w:r>
        <w:rPr>
          <w:rFonts w:ascii="Arial" w:cs="Arial" w:eastAsia="Arial" w:hAnsi="Arial"/>
          <w:sz w:val="17"/>
          <w:szCs w:val="17"/>
          <w:color w:val="3A3B41"/>
        </w:rPr>
        <w:t>to</w:t>
      </w:r>
      <w:r>
        <w:rPr>
          <w:rFonts w:ascii="Arial" w:cs="Arial" w:eastAsia="Arial" w:hAnsi="Arial"/>
          <w:sz w:val="17"/>
          <w:szCs w:val="17"/>
          <w:color w:val="262A31"/>
        </w:rPr>
        <w:t xml:space="preserve"> be held in Boston</w:t>
      </w:r>
      <w:r>
        <w:rPr>
          <w:rFonts w:ascii="Arial" w:cs="Arial" w:eastAsia="Arial" w:hAnsi="Arial"/>
          <w:sz w:val="17"/>
          <w:szCs w:val="17"/>
          <w:color w:val="4F5457"/>
        </w:rPr>
        <w:t>,</w:t>
      </w:r>
      <w:r>
        <w:rPr>
          <w:rFonts w:ascii="Arial" w:cs="Arial" w:eastAsia="Arial" w:hAnsi="Arial"/>
          <w:sz w:val="17"/>
          <w:szCs w:val="17"/>
          <w:color w:val="262A31"/>
        </w:rPr>
        <w:t xml:space="preserve"> Massachusetts, administered by the American Arbitration Association under its employment arbitration rules and mediation procedures and judgment upon </w:t>
      </w:r>
      <w:r>
        <w:rPr>
          <w:rFonts w:ascii="Arial" w:cs="Arial" w:eastAsia="Arial" w:hAnsi="Arial"/>
          <w:sz w:val="17"/>
          <w:szCs w:val="17"/>
          <w:color w:val="3A3B41"/>
        </w:rPr>
        <w:t>the</w:t>
      </w:r>
      <w:r>
        <w:rPr>
          <w:rFonts w:ascii="Arial" w:cs="Arial" w:eastAsia="Arial" w:hAnsi="Arial"/>
          <w:sz w:val="17"/>
          <w:szCs w:val="17"/>
          <w:color w:val="262A31"/>
        </w:rPr>
        <w:t xml:space="preserve"> award rendered by the arbitrator(s) may be entered in any court having jurisdiction thereof. </w:t>
      </w:r>
      <w:r>
        <w:rPr>
          <w:rFonts w:ascii="Arial" w:cs="Arial" w:eastAsia="Arial" w:hAnsi="Arial"/>
          <w:sz w:val="17"/>
          <w:szCs w:val="17"/>
          <w:color w:val="3A3B41"/>
        </w:rPr>
        <w:t>Each</w:t>
      </w:r>
      <w:r>
        <w:rPr>
          <w:rFonts w:ascii="Arial" w:cs="Arial" w:eastAsia="Arial" w:hAnsi="Arial"/>
          <w:sz w:val="17"/>
          <w:szCs w:val="17"/>
          <w:color w:val="262A31"/>
        </w:rPr>
        <w:t xml:space="preserve"> party will pay their own costs and expenses; provided, however, </w:t>
      </w:r>
      <w:r>
        <w:rPr>
          <w:rFonts w:ascii="Arial" w:cs="Arial" w:eastAsia="Arial" w:hAnsi="Arial"/>
          <w:sz w:val="17"/>
          <w:szCs w:val="17"/>
          <w:color w:val="3A3B41"/>
        </w:rPr>
        <w:t>the</w:t>
      </w:r>
      <w:r>
        <w:rPr>
          <w:rFonts w:ascii="Arial" w:cs="Arial" w:eastAsia="Arial" w:hAnsi="Arial"/>
          <w:sz w:val="17"/>
          <w:szCs w:val="17"/>
          <w:color w:val="262A31"/>
        </w:rPr>
        <w:t xml:space="preserve"> arbitrator may award the costs and attorneys</w:t>
      </w:r>
      <w:r>
        <w:rPr>
          <w:rFonts w:ascii="Arial" w:cs="Arial" w:eastAsia="Arial" w:hAnsi="Arial"/>
          <w:sz w:val="17"/>
          <w:szCs w:val="17"/>
          <w:color w:val="4F5457"/>
        </w:rPr>
        <w:t>'</w:t>
      </w:r>
      <w:r>
        <w:rPr>
          <w:rFonts w:ascii="Arial" w:cs="Arial" w:eastAsia="Arial" w:hAnsi="Arial"/>
          <w:sz w:val="17"/>
          <w:szCs w:val="17"/>
          <w:color w:val="262A31"/>
        </w:rPr>
        <w:t xml:space="preserve"> </w:t>
      </w:r>
      <w:r>
        <w:rPr>
          <w:rFonts w:ascii="Arial" w:cs="Arial" w:eastAsia="Arial" w:hAnsi="Arial"/>
          <w:sz w:val="17"/>
          <w:szCs w:val="17"/>
          <w:color w:val="3A3B41"/>
        </w:rPr>
        <w:t>fees</w:t>
      </w:r>
      <w:r>
        <w:rPr>
          <w:rFonts w:ascii="Arial" w:cs="Arial" w:eastAsia="Arial" w:hAnsi="Arial"/>
          <w:sz w:val="17"/>
          <w:szCs w:val="17"/>
          <w:color w:val="262A31"/>
        </w:rPr>
        <w:t xml:space="preserve"> of the other party to the extent permitted by applicable law. Any ambiguity </w:t>
      </w:r>
      <w:r>
        <w:rPr>
          <w:rFonts w:ascii="Arial" w:cs="Arial" w:eastAsia="Arial" w:hAnsi="Arial"/>
          <w:sz w:val="17"/>
          <w:szCs w:val="17"/>
          <w:color w:val="3A3B41"/>
        </w:rPr>
        <w:t>in this</w:t>
      </w:r>
      <w:r>
        <w:rPr>
          <w:rFonts w:ascii="Arial" w:cs="Arial" w:eastAsia="Arial" w:hAnsi="Arial"/>
          <w:sz w:val="17"/>
          <w:szCs w:val="17"/>
          <w:color w:val="262A31"/>
        </w:rPr>
        <w:t xml:space="preserve"> Agreement shall not be construed against either party as the drafter</w:t>
      </w:r>
      <w:r>
        <w:rPr>
          <w:rFonts w:ascii="Arial" w:cs="Arial" w:eastAsia="Arial" w:hAnsi="Arial"/>
          <w:sz w:val="17"/>
          <w:szCs w:val="17"/>
          <w:color w:val="4F5457"/>
        </w:rPr>
        <w:t>.</w:t>
      </w:r>
      <w:r>
        <w:rPr>
          <w:rFonts w:ascii="Arial" w:cs="Arial" w:eastAsia="Arial" w:hAnsi="Arial"/>
          <w:sz w:val="17"/>
          <w:szCs w:val="17"/>
          <w:color w:val="262A31"/>
        </w:rPr>
        <w:t xml:space="preserve"> Any waiver of a breach of this Agreement, or rights </w:t>
      </w:r>
      <w:r>
        <w:rPr>
          <w:rFonts w:ascii="Arial" w:cs="Arial" w:eastAsia="Arial" w:hAnsi="Arial"/>
          <w:sz w:val="17"/>
          <w:szCs w:val="17"/>
          <w:color w:val="3A3B41"/>
        </w:rPr>
        <w:t>hereunder,</w:t>
      </w:r>
      <w:r>
        <w:rPr>
          <w:rFonts w:ascii="Arial" w:cs="Arial" w:eastAsia="Arial" w:hAnsi="Arial"/>
          <w:sz w:val="17"/>
          <w:szCs w:val="17"/>
          <w:color w:val="262A31"/>
        </w:rPr>
        <w:t xml:space="preserve"> shall be </w:t>
      </w:r>
      <w:r>
        <w:rPr>
          <w:rFonts w:ascii="Arial" w:cs="Arial" w:eastAsia="Arial" w:hAnsi="Arial"/>
          <w:sz w:val="17"/>
          <w:szCs w:val="17"/>
          <w:color w:val="3A3B41"/>
        </w:rPr>
        <w:t>in</w:t>
      </w:r>
      <w:r>
        <w:rPr>
          <w:rFonts w:ascii="Arial" w:cs="Arial" w:eastAsia="Arial" w:hAnsi="Arial"/>
          <w:sz w:val="17"/>
          <w:szCs w:val="17"/>
          <w:color w:val="262A31"/>
        </w:rPr>
        <w:t xml:space="preserve"> writing and shall not be deemed </w:t>
      </w:r>
      <w:r>
        <w:rPr>
          <w:rFonts w:ascii="Arial" w:cs="Arial" w:eastAsia="Arial" w:hAnsi="Arial"/>
          <w:sz w:val="17"/>
          <w:szCs w:val="17"/>
          <w:color w:val="3A3B41"/>
        </w:rPr>
        <w:t>to</w:t>
      </w:r>
      <w:r>
        <w:rPr>
          <w:rFonts w:ascii="Arial" w:cs="Arial" w:eastAsia="Arial" w:hAnsi="Arial"/>
          <w:sz w:val="17"/>
          <w:szCs w:val="17"/>
          <w:color w:val="262A31"/>
        </w:rPr>
        <w:t xml:space="preserve"> be a waiver of any successive breach or </w:t>
      </w:r>
      <w:r>
        <w:rPr>
          <w:rFonts w:ascii="Arial" w:cs="Arial" w:eastAsia="Arial" w:hAnsi="Arial"/>
          <w:sz w:val="17"/>
          <w:szCs w:val="17"/>
          <w:color w:val="3A3B41"/>
        </w:rPr>
        <w:t>rights</w:t>
      </w:r>
      <w:r>
        <w:rPr>
          <w:rFonts w:ascii="Arial" w:cs="Arial" w:eastAsia="Arial" w:hAnsi="Arial"/>
          <w:sz w:val="17"/>
          <w:szCs w:val="17"/>
          <w:color w:val="262A31"/>
        </w:rPr>
        <w:t xml:space="preserve"> </w:t>
      </w:r>
      <w:r>
        <w:rPr>
          <w:rFonts w:ascii="Arial" w:cs="Arial" w:eastAsia="Arial" w:hAnsi="Arial"/>
          <w:sz w:val="17"/>
          <w:szCs w:val="17"/>
          <w:color w:val="3A3B41"/>
        </w:rPr>
        <w:t>hereunder</w:t>
      </w:r>
      <w:r>
        <w:rPr>
          <w:rFonts w:ascii="Arial" w:cs="Arial" w:eastAsia="Arial" w:hAnsi="Arial"/>
          <w:sz w:val="17"/>
          <w:szCs w:val="17"/>
          <w:color w:val="4F5457"/>
        </w:rPr>
        <w:t>.</w:t>
      </w:r>
      <w:r>
        <w:rPr>
          <w:rFonts w:ascii="Arial" w:cs="Arial" w:eastAsia="Arial" w:hAnsi="Arial"/>
          <w:sz w:val="17"/>
          <w:szCs w:val="17"/>
          <w:color w:val="3A3B41"/>
        </w:rPr>
        <w:t xml:space="preserve"> </w:t>
      </w:r>
      <w:r>
        <w:rPr>
          <w:rFonts w:ascii="Arial" w:cs="Arial" w:eastAsia="Arial" w:hAnsi="Arial"/>
          <w:sz w:val="17"/>
          <w:szCs w:val="17"/>
          <w:color w:val="262A31"/>
        </w:rPr>
        <w:t>This</w:t>
      </w:r>
      <w:r>
        <w:rPr>
          <w:rFonts w:ascii="Arial" w:cs="Arial" w:eastAsia="Arial" w:hAnsi="Arial"/>
          <w:sz w:val="17"/>
          <w:szCs w:val="17"/>
          <w:color w:val="3A3B41"/>
        </w:rPr>
        <w:t xml:space="preserve"> Agreement </w:t>
      </w:r>
      <w:r>
        <w:rPr>
          <w:rFonts w:ascii="Arial" w:cs="Arial" w:eastAsia="Arial" w:hAnsi="Arial"/>
          <w:sz w:val="17"/>
          <w:szCs w:val="17"/>
          <w:color w:val="262A31"/>
        </w:rPr>
        <w:t>may be executed in counterparts which shall be deemed to be part of one original, and facsimile or pdf</w:t>
      </w:r>
      <w:r>
        <w:rPr>
          <w:rFonts w:ascii="Arial" w:cs="Arial" w:eastAsia="Arial" w:hAnsi="Arial"/>
          <w:sz w:val="17"/>
          <w:szCs w:val="17"/>
          <w:color w:val="3A3B41"/>
        </w:rPr>
        <w:t xml:space="preserve"> </w:t>
      </w:r>
      <w:r>
        <w:rPr>
          <w:rFonts w:ascii="Arial" w:cs="Arial" w:eastAsia="Arial" w:hAnsi="Arial"/>
          <w:sz w:val="17"/>
          <w:szCs w:val="17"/>
          <w:color w:val="262A31"/>
        </w:rPr>
        <w:t xml:space="preserve">signatures shall </w:t>
      </w:r>
      <w:r>
        <w:rPr>
          <w:rFonts w:ascii="Arial" w:cs="Arial" w:eastAsia="Arial" w:hAnsi="Arial"/>
          <w:sz w:val="17"/>
          <w:szCs w:val="17"/>
          <w:color w:val="3A3B41"/>
        </w:rPr>
        <w:t>be</w:t>
      </w:r>
      <w:r>
        <w:rPr>
          <w:rFonts w:ascii="Arial" w:cs="Arial" w:eastAsia="Arial" w:hAnsi="Arial"/>
          <w:sz w:val="17"/>
          <w:szCs w:val="17"/>
          <w:color w:val="262A31"/>
        </w:rPr>
        <w:t xml:space="preserve"> equivalent to original signatures.</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62A31"/>
        </w:rPr>
        <w:t xml:space="preserve">I am very pleased to offer you continued employment in this position at the Company on and following the IPO under the terms described above. </w:t>
      </w:r>
      <w:r>
        <w:rPr>
          <w:rFonts w:ascii="Arial" w:cs="Arial" w:eastAsia="Arial" w:hAnsi="Arial"/>
          <w:sz w:val="17"/>
          <w:szCs w:val="17"/>
          <w:color w:val="3A3B41"/>
        </w:rPr>
        <w:t>I</w:t>
      </w:r>
      <w:r>
        <w:rPr>
          <w:rFonts w:ascii="Arial" w:cs="Arial" w:eastAsia="Arial" w:hAnsi="Arial"/>
          <w:sz w:val="17"/>
          <w:szCs w:val="17"/>
          <w:color w:val="262A31"/>
        </w:rPr>
        <w:t xml:space="preserve"> would be happy to discuss any questions that you may have about the terms of the offer. It will be a pleasure to continue to work with you and create the future of the Company on and following the IPO</w:t>
      </w:r>
      <w:r>
        <w:rPr>
          <w:rFonts w:ascii="Arial" w:cs="Arial" w:eastAsia="Arial" w:hAnsi="Arial"/>
          <w:sz w:val="17"/>
          <w:szCs w:val="17"/>
          <w:color w:val="4F5457"/>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gridSpan w:val="2"/>
          </w:tcPr>
          <w:p>
            <w:pPr>
              <w:spacing w:after="0"/>
              <w:rPr>
                <w:sz w:val="20"/>
                <w:szCs w:val="20"/>
                <w:color w:val="auto"/>
              </w:rPr>
            </w:pPr>
            <w:r>
              <w:rPr>
                <w:rFonts w:ascii="Arial" w:cs="Arial" w:eastAsia="Arial" w:hAnsi="Arial"/>
                <w:sz w:val="17"/>
                <w:szCs w:val="17"/>
                <w:color w:val="262A31"/>
              </w:rPr>
              <w:t>Sincerely,</w:t>
            </w:r>
          </w:p>
        </w:tc>
        <w:tc>
          <w:tcPr>
            <w:tcW w:w="24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378"/>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Thomas N. Trkla</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4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Thomas N. </w:t>
            </w:r>
            <w:r>
              <w:rPr>
                <w:rFonts w:ascii="Arial" w:cs="Arial" w:eastAsia="Arial" w:hAnsi="Arial"/>
                <w:sz w:val="18"/>
                <w:szCs w:val="18"/>
                <w:b w:val="1"/>
                <w:bCs w:val="1"/>
                <w:color w:val="3A3B41"/>
              </w:rPr>
              <w:t>Trkla</w:t>
            </w:r>
          </w:p>
        </w:tc>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8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President and Chief Executive Officer</w:t>
            </w:r>
          </w:p>
        </w:tc>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05"/>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Understood and Accepted:</w:t>
            </w:r>
          </w:p>
        </w:tc>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8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 Kurt M. Zernich</w:t>
            </w: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April 23, 2026</w:t>
            </w:r>
          </w:p>
        </w:tc>
      </w:tr>
      <w:tr>
        <w:trPr>
          <w:trHeight w:val="240"/>
        </w:trPr>
        <w:tc>
          <w:tcPr>
            <w:tcW w:w="20" w:type="dxa"/>
            <w:vAlign w:val="bottom"/>
          </w:tcPr>
          <w:p>
            <w:pPr>
              <w:spacing w:after="0"/>
              <w:rPr>
                <w:sz w:val="20"/>
                <w:szCs w:val="20"/>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Kurt M. Zernich</w:t>
            </w:r>
          </w:p>
        </w:tc>
        <w:tc>
          <w:tcPr>
            <w:tcW w:w="240" w:type="dxa"/>
            <w:vAlign w:val="bottom"/>
          </w:tcPr>
          <w:p>
            <w:pPr>
              <w:spacing w:after="0"/>
              <w:rPr>
                <w:sz w:val="20"/>
                <w:szCs w:val="20"/>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921"/>
        </w:trPr>
        <w:tc>
          <w:tcPr>
            <w:tcW w:w="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06" w:right="9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YESWAY,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AMENDED AND RESTATED EXECUTIVE SEVERANCE PLAN</w:t>
      </w:r>
    </w:p>
    <w:p>
      <w:pPr>
        <w:spacing w:after="0" w:line="189"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stablishment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urpose</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This Executive Severance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was originally established by the Board of Managers of BW Gas &amp; Convenience Holdings, LLC effective as of May 31, 2022 and amended and assumed by Yesway, Inc. (together with its subsidiaries and affiliates that may employ Participants from time to time,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as of April 21, 2026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The purpose of this Plan is to promote the interests of the Company and its equityholders by retaining certain executive-level employees through the provision of severance protections to such employees in the event their employment is terminated under the circumstances described in this Plan. The Plan is intended to be, and shall be interpreted and construed as, an unfunded employee pension benefit plan under Section 3(1) of the Employee Retirement Income Security Act of 1974, as amended (“</w:t>
      </w:r>
      <w:r>
        <w:rPr>
          <w:rFonts w:ascii="Times New Roman" w:cs="Times New Roman" w:eastAsia="Times New Roman" w:hAnsi="Times New Roman"/>
          <w:sz w:val="21"/>
          <w:szCs w:val="21"/>
          <w:b w:val="1"/>
          <w:bCs w:val="1"/>
          <w:i w:val="1"/>
          <w:iCs w:val="1"/>
          <w:color w:val="auto"/>
        </w:rPr>
        <w:t>ERISA</w:t>
      </w:r>
      <w:r>
        <w:rPr>
          <w:rFonts w:ascii="Times New Roman" w:cs="Times New Roman" w:eastAsia="Times New Roman" w:hAnsi="Times New Roman"/>
          <w:sz w:val="21"/>
          <w:szCs w:val="21"/>
          <w:color w:val="auto"/>
        </w:rPr>
        <w:t>”) and Section 2520.104-23 of the regulations promulgated by the U.S. Department of Labor, maintained primarily for the benefit of a select group of management or highly compensated employees (a “top-hat” plan).</w:t>
      </w:r>
    </w:p>
    <w:p>
      <w:pPr>
        <w:spacing w:after="0" w:line="173"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onstruction</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xml:space="preserve">. Whenever used in this Plan, capitalized terms shall have the same meaning as set forth herein or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xml:space="preserve"> Captions and titles contained in this Plan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2"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articipation</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The Participants are the executive-level employees of the Company Group who are designated by the Administrator (in a settlor, not fiduciary capacity), to participate in this Plan from time to time and who have executed and delivered a Participation Letter to the Company. The Administrator may designate (in a settlor, not fiduciary capacity), such employees by name, title, position, function, salary band, any other category deemed appropriate thereby, or any combination of the foregoing from time to time. A list of Participants is set forth on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hereto (as such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may from time to time be amended by the Administrator). In addition, as a condition to participation in this Plan, each individual agrees to be bound by, the terms and conditions of this Plan.</w:t>
      </w:r>
    </w:p>
    <w:p>
      <w:pPr>
        <w:spacing w:after="0" w:line="174"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ithout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ause or</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eason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event of a Participant’s Termination of Employment by the Company without Cause (other than due to death or Disability) or by Participant for Good Reason, in each case, at any time, the Participant shall be entitled to receive the compensation and benefits described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4.</w:t>
      </w:r>
    </w:p>
    <w:p>
      <w:pPr>
        <w:spacing w:after="0" w:line="20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 xml:space="preserve"> The Participant shall be entitled to receive any accrued but unpaid annual base salary, unreimbursed business expenses incurred in accordance with the Company Group’s policies, or other amounts earned or accrued through the Participant’s Termination of Employment under the Company Group’s applicable health, welfare, retirement, or other similar fringe benefit programs as required by their terms or by applicable law (the rights to such payments,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For purposes of this Section 4.1, a Participant shall have the right to receive an annual cash bonus with respect to the year prior to the year in which the Participant’s Termination of Employment occurs if such bonus has been “earned”, as determined by the Administrator in its sole discretion, and is as yet unpaid. The Accrued Obligations shall be payable on their respective scheduled payment dates in accordance with their terms.</w:t>
      </w:r>
    </w:p>
    <w:p>
      <w:pPr>
        <w:spacing w:after="0" w:line="17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xml:space="preserve"> Provided that the Participant executes the Release prior to the applicable Release Deadline and such Release then becomes effective and irrevocable in accordance with its terms, subject to Section 16, and subject to the Participant’s compliance with the restrictive covenants set forth in Section 9 herein, the Participant shall be entitled to receive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952"/>
        <w:spacing w:after="0" w:line="263" w:lineRule="auto"/>
        <w:tabs>
          <w:tab w:leader="none" w:pos="259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Severance Payment. </w:t>
      </w:r>
      <w:r>
        <w:rPr>
          <w:rFonts w:ascii="Times New Roman" w:cs="Times New Roman" w:eastAsia="Times New Roman" w:hAnsi="Times New Roman"/>
          <w:sz w:val="21"/>
          <w:szCs w:val="21"/>
          <w:color w:val="auto"/>
        </w:rPr>
        <w:t>The Company shall pay the Participant a single lump sum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cash payment equal to the product of (i) the Participant’s Severance Multiplier and (ii) the Participant’s Severance Payment, payable within thirty (30) days after the date of the Participant’s Termination of Employment.</w:t>
      </w:r>
    </w:p>
    <w:p>
      <w:pPr>
        <w:spacing w:after="0" w:line="151" w:lineRule="exact"/>
        <w:rPr>
          <w:rFonts w:ascii="Times New Roman" w:cs="Times New Roman" w:eastAsia="Times New Roman" w:hAnsi="Times New Roman"/>
          <w:sz w:val="21"/>
          <w:szCs w:val="21"/>
          <w:color w:val="auto"/>
        </w:rPr>
      </w:pPr>
    </w:p>
    <w:p>
      <w:pPr>
        <w:jc w:val="both"/>
        <w:ind w:firstLine="1952"/>
        <w:spacing w:after="0" w:line="232" w:lineRule="auto"/>
        <w:tabs>
          <w:tab w:leader="none" w:pos="259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COBRA Premiums. </w:t>
      </w:r>
      <w:r>
        <w:rPr>
          <w:rFonts w:ascii="Times New Roman" w:cs="Times New Roman" w:eastAsia="Times New Roman" w:hAnsi="Times New Roman"/>
          <w:sz w:val="22"/>
          <w:szCs w:val="22"/>
          <w:color w:val="auto"/>
        </w:rPr>
        <w:t>If such Participant timely and properly elects continuation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coverage under the Company’s group health plans (other than its health care flexible spending account) pursuant to COBRA, then the Company shall directly pay or, at its election, reimburse the Participant (subject to the Company’s reimbursement procedures) for COBRA premiums for the Participant and the Participant’s covered eligible dependents (at the same benefit levels in effect on the Participant’s Termination of Employment) for the period commencing on such Termination of Employment and ending on the earliest of (i) the number of years (or partial years, if applicable) thereafter equal to the Severance Multiplier, (ii) the date such Participant is no longer eligible for COBRA continuation coverage, and (iii) that date on which the Participant becomes eligible to receive group health plan coverage from another employer (such period, the “</w:t>
      </w:r>
      <w:r>
        <w:rPr>
          <w:rFonts w:ascii="Times New Roman" w:cs="Times New Roman" w:eastAsia="Times New Roman" w:hAnsi="Times New Roman"/>
          <w:sz w:val="22"/>
          <w:szCs w:val="22"/>
          <w:b w:val="1"/>
          <w:bCs w:val="1"/>
          <w:i w:val="1"/>
          <w:iCs w:val="1"/>
          <w:color w:val="auto"/>
        </w:rPr>
        <w:t>Benefits Continuation Period</w:t>
      </w:r>
      <w:r>
        <w:rPr>
          <w:rFonts w:ascii="Times New Roman" w:cs="Times New Roman" w:eastAsia="Times New Roman" w:hAnsi="Times New Roman"/>
          <w:sz w:val="22"/>
          <w:szCs w:val="22"/>
          <w:color w:val="auto"/>
        </w:rPr>
        <w:t>”). The Participant must notify the Company immediately upon becoming eligible to receive group health plan coverage by means of subsequent employment. Notwithstanding the foregoing, (i) if any plan pursuant to which such benefits are provided is not, or ceases prior to the expiration of the period of continuation coverage to be, exempt from the application of Section 409A of the Code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Benefits Continuation Period (or the remaining portion thereof).</w:t>
      </w:r>
    </w:p>
    <w:p>
      <w:pPr>
        <w:spacing w:after="0" w:line="188" w:lineRule="exact"/>
        <w:rPr>
          <w:rFonts w:ascii="Times New Roman" w:cs="Times New Roman" w:eastAsia="Times New Roman" w:hAnsi="Times New Roman"/>
          <w:sz w:val="22"/>
          <w:szCs w:val="22"/>
          <w:color w:val="auto"/>
        </w:rPr>
      </w:pPr>
    </w:p>
    <w:p>
      <w:pPr>
        <w:ind w:firstLine="1952"/>
        <w:spacing w:after="0" w:line="262" w:lineRule="auto"/>
        <w:tabs>
          <w:tab w:leader="none" w:pos="259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w:t>
      </w:r>
      <w:r>
        <w:rPr>
          <w:rFonts w:ascii="Times New Roman" w:cs="Times New Roman" w:eastAsia="Times New Roman" w:hAnsi="Times New Roman"/>
          <w:sz w:val="22"/>
          <w:szCs w:val="22"/>
          <w:color w:val="auto"/>
        </w:rPr>
        <w:t>. Notwithstanding the terms of any equity award agreements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equity awards outstanding as of the date of Participant’s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5" w:name="page76"/>
    <w:bookmarkEnd w:id="75"/>
    <w:p>
      <w:pPr>
        <w:jc w:val="both"/>
        <w:spacing w:after="0" w:line="235" w:lineRule="auto"/>
        <w:rPr>
          <w:sz w:val="20"/>
          <w:szCs w:val="20"/>
          <w:color w:val="auto"/>
        </w:rPr>
      </w:pPr>
      <w:r>
        <w:rPr>
          <w:rFonts w:ascii="Times New Roman" w:cs="Times New Roman" w:eastAsia="Times New Roman" w:hAnsi="Times New Roman"/>
          <w:sz w:val="22"/>
          <w:szCs w:val="22"/>
          <w:color w:val="auto"/>
        </w:rPr>
        <w:t>Employment, if any, will remain outstanding and eligible to vest through the date ending on the last day of the applicable Severance Period without regard for any requirement of continued employment, with any such equity awards subject to performance or other non-time based vesting criteria being eligible to vest based on the actual achievement of such performance criteria (and, for the avoidance of doubt, any such award which does not become vested based on the actual achievement of applicable performance criteria by the earlier of the last day of the applicable performance period or the last day of the applicable Severance Period will be automatically forfeited without payment therefor as of the last day of the applicable Severance Period).</w:t>
      </w:r>
    </w:p>
    <w:p>
      <w:pPr>
        <w:spacing w:after="0" w:line="180"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pon death or disability</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In the event of a Participant’s Termination of Employment as a result of termination by the Company due to death or Disability, the Participant shall be entitled to receive the compensation and benefits described in this Section 5.</w:t>
      </w:r>
    </w:p>
    <w:p>
      <w:pPr>
        <w:spacing w:after="0" w:line="13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b w:val="1"/>
          <w:bCs w:val="1"/>
          <w:color w:val="auto"/>
        </w:rPr>
        <w:t xml:space="preserve">Accrued Obligations. </w:t>
      </w:r>
      <w:r>
        <w:rPr>
          <w:rFonts w:ascii="Times New Roman" w:cs="Times New Roman" w:eastAsia="Times New Roman" w:hAnsi="Times New Roman"/>
          <w:sz w:val="21"/>
          <w:szCs w:val="21"/>
          <w:color w:val="auto"/>
        </w:rPr>
        <w:t>The Participant shall be entitled to receive the Accrued Obligations.</w:t>
      </w:r>
    </w:p>
    <w:p>
      <w:pPr>
        <w:spacing w:after="0" w:line="206"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ause or</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ithout</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eason</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the event of a Participant’s Termination of Employment by the Company for Cause or by Participant without Good Reason, the Participant shall be entitled to receive only the Accrued Obligations and shall not be entitled to any severance compensation or benefits hereunder or otherwise.</w:t>
      </w:r>
    </w:p>
    <w:p>
      <w:pPr>
        <w:spacing w:after="0" w:line="169"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xcise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4999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ode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Unless a written employment agreement between a Participant and a member of the Company Group in effect at the time of the Participant’s Termination of Employment provides otherwise for the treatment of excess parachute payments under Section 280G of the Code and the Treasury Regulations thereunder (“</w:t>
      </w:r>
      <w:r>
        <w:rPr>
          <w:rFonts w:ascii="Times New Roman" w:cs="Times New Roman" w:eastAsia="Times New Roman" w:hAnsi="Times New Roman"/>
          <w:sz w:val="21"/>
          <w:szCs w:val="21"/>
          <w:b w:val="1"/>
          <w:bCs w:val="1"/>
          <w:i w:val="1"/>
          <w:iCs w:val="1"/>
          <w:color w:val="auto"/>
        </w:rPr>
        <w:t>Section 280G</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Private Company.</w:t>
      </w:r>
      <w:r>
        <w:rPr>
          <w:rFonts w:ascii="Times New Roman" w:cs="Times New Roman" w:eastAsia="Times New Roman" w:hAnsi="Times New Roman"/>
          <w:sz w:val="22"/>
          <w:szCs w:val="22"/>
          <w:color w:val="auto"/>
        </w:rPr>
        <w:t xml:space="preserve"> In the event the Company or applicable member of the Company Group is not a Publicly Listed Company and the applicable provisions of Section 280G (including the provisions of Treasury Regulations Section 1.280G-1, Q&amp;A-7) are available to the Company, if any payment or benefit received or to be received by the Participant pursuant to this Plan or otherwise (collectively,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Payments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would be a “parachute payment” within the meaning of Section 280G and would subject the Participant to any excise tax pursuant to Section 4999 of the Code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due to the characterization of such Payments as an excess parachute payment under Section 280G of the Code, then, notwithstanding the other provisions of this Plan, if the Participant executes a customary waiver of the right to receive such Payments subject to obtaining stockholder approval in accordance with Section 280G, then the Company shall use commercially reasonable efforts to solicit the approval of the appropriate entity’s stockholders in a manner intended to satisfy Section 280G(b)(5)(B) of the Code. The determinations to be made with respect to this Section 7.1 shall be made by a 280G Advisor (as described below)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6" w:name="page77"/>
    <w:bookmarkEnd w:id="76"/>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Publicly Listed Company</w:t>
      </w:r>
      <w:r>
        <w:rPr>
          <w:rFonts w:ascii="Times New Roman" w:cs="Times New Roman" w:eastAsia="Times New Roman" w:hAnsi="Times New Roman"/>
          <w:sz w:val="22"/>
          <w:szCs w:val="22"/>
          <w:color w:val="auto"/>
        </w:rPr>
        <w:t>. In the event the Company or applicable member of the Company Group is a Publicly Listed Company and in the event that any Payments would subject the Participant to any Excise Tax then, notwithstanding the other provisions of this Plan, the amount of such Payments will not exceed the amount which produces the greatest after-tax benefit to the Participant (the “</w:t>
      </w:r>
      <w:r>
        <w:rPr>
          <w:rFonts w:ascii="Times New Roman" w:cs="Times New Roman" w:eastAsia="Times New Roman" w:hAnsi="Times New Roman"/>
          <w:sz w:val="22"/>
          <w:szCs w:val="22"/>
          <w:b w:val="1"/>
          <w:bCs w:val="1"/>
          <w:i w:val="1"/>
          <w:iCs w:val="1"/>
          <w:color w:val="auto"/>
        </w:rPr>
        <w:t>280G Best Net</w:t>
      </w:r>
      <w:r>
        <w:rPr>
          <w:rFonts w:ascii="Times New Roman" w:cs="Times New Roman" w:eastAsia="Times New Roman" w:hAnsi="Times New Roman"/>
          <w:sz w:val="22"/>
          <w:szCs w:val="22"/>
          <w:color w:val="auto"/>
        </w:rPr>
        <w:t>”). For purposes of the 280G Best Net, if the Payments must be reduced, then such Payments shall be reduced in such manner (and in such order) as determined by the Company in good faith based on determinations of the 280G Advisor (as defined below) and such determination by the Company shall be final, binding and conclusive on the applicable Participant.</w:t>
      </w:r>
    </w:p>
    <w:p>
      <w:pPr>
        <w:spacing w:after="0" w:line="17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Determination by 280G Advisor.</w:t>
      </w:r>
      <w:r>
        <w:rPr>
          <w:rFonts w:ascii="Times New Roman" w:cs="Times New Roman" w:eastAsia="Times New Roman" w:hAnsi="Times New Roman"/>
          <w:sz w:val="22"/>
          <w:szCs w:val="22"/>
          <w:color w:val="auto"/>
        </w:rPr>
        <w:t xml:space="preserve"> Upon the occurrence of any event that would give rise to any Payments pursuant to this Plan (an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Event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shall request a determination to be made in connection with the Event by a nationally recognized independent public accounting firm or other third party advisor with experience in performing calculations regarding the applicability of Section 280G of the Code and the Excise Tax selected by the Company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280G Advisor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of the amount and type of such Payments which would produce the greatest after-tax benefit to the Participant. For the purposes of such determination, the 280G Advisor may rely on reasonable, good faith interpretations concerning the application of Sections 280G and 4999 of the Code. The Company and the Participant shall furnish to the 280G Advisor such information and documents as the 280G Advisor may reasonably request in order to make its required determination. The Company shall bear all fees and expenses the 280G Advisor may reasonably charge in connection with their services contemplated by this Section.</w:t>
      </w:r>
    </w:p>
    <w:p>
      <w:pPr>
        <w:spacing w:after="0" w:line="176" w:lineRule="exact"/>
        <w:rPr>
          <w:sz w:val="20"/>
          <w:szCs w:val="20"/>
          <w:color w:val="auto"/>
        </w:rPr>
      </w:pPr>
    </w:p>
    <w:p>
      <w:pPr>
        <w:jc w:val="both"/>
        <w:ind w:firstLine="656"/>
        <w:spacing w:after="0" w:line="234"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ntire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R</w:t>
      </w:r>
      <w:r>
        <w:rPr>
          <w:rFonts w:ascii="Times New Roman" w:cs="Times New Roman" w:eastAsia="Times New Roman" w:hAnsi="Times New Roman"/>
          <w:sz w:val="14"/>
          <w:szCs w:val="14"/>
          <w:b w:val="1"/>
          <w:bCs w:val="1"/>
          <w:color w:val="auto"/>
        </w:rPr>
        <w:t>elation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set forth herein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to in writing between the Company Group and a Participant, the Plan contains the entire understanding of the parties relating to the subject matter hereof and supersedes any prior agreement, arrangement and understanding between any Participant and the Company Group, with respect to the subject matter hereof. By participating in the Plan and accepting the Severance Benefits hereunder, the Participant acknowledges and agrees that any prior agreement, arrangement and understanding between any Participant, on the one hand, and the Company Group, on the other hand, with respect to the subject matter hereof is hereby superseded and ineffective with respect to the Participant (including with respect to any severance arrangement contained in an employment agreement, employment letter agreement and/or similar agreement or arrangement by and between the Participant and any member of the Company Group), except as otherwise agreed herein.</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onfidential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non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competition and</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solicitation</w:t>
      </w:r>
    </w:p>
    <w:p>
      <w:pPr>
        <w:spacing w:after="0" w:line="21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9.1 As an express condition to participation in this Plan, each Participant acknowledges and agrees that such Participant is bound by the provisions of this Section 9. Notwithstanding any provision of this Plan to the contrary, if a Participant violates any of his or her obligations under this Section 9 (or any similar confidentiality, return of property, non-competition, non-solicitation, non-disparagement, or intellectual property covenant that runs in favor of any member of the Company Group and by which such Participant is bound, the terms of which are incorporated herein by reference (collectively, “</w:t>
      </w:r>
      <w:r>
        <w:rPr>
          <w:rFonts w:ascii="Times New Roman" w:cs="Times New Roman" w:eastAsia="Times New Roman" w:hAnsi="Times New Roman"/>
          <w:sz w:val="22"/>
          <w:szCs w:val="22"/>
          <w:b w:val="1"/>
          <w:bCs w:val="1"/>
          <w:i w:val="1"/>
          <w:iCs w:val="1"/>
          <w:color w:val="auto"/>
        </w:rPr>
        <w:t>Similar Covenants</w:t>
      </w:r>
      <w:r>
        <w:rPr>
          <w:rFonts w:ascii="Times New Roman" w:cs="Times New Roman" w:eastAsia="Times New Roman" w:hAnsi="Times New Roman"/>
          <w:sz w:val="22"/>
          <w:szCs w:val="22"/>
          <w:color w:val="auto"/>
        </w:rPr>
        <w:t>”)), then the Company (and its applicable affiliates) shall be relieved of all obligations to provide or make available any further payments or benefits to the Participant pursuant to this Plan, and the Company may require the Participant to repay or forfeit to the Company (on a pre-tax or after-tax basis)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2"/>
          <w:szCs w:val="22"/>
          <w:color w:val="auto"/>
        </w:rPr>
        <w:t>such payments or benefits that the Participant was previously provided by the Company or any of its affiliates. For the avoidance of doubt, each Participant shall remain obligated to comply with any Similar Covenants in addition to the provisions of this Section 9.</w:t>
      </w:r>
    </w:p>
    <w:p>
      <w:pPr>
        <w:spacing w:after="0" w:line="174"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9.2 Each Participant agrees that the Participant shall not use for the Participant’s own purpose or for the benefit of any person or entity (including, without limitation, a Competing Business (as defined below)) other than the Company Group or its respective equityholders or affiliates, nor shall the Participant otherwise disclose to any individual or entity at any time while the Participant is employed by the Company Group or thereafter any Proprietary Information of the Company Group unless such disclosure (a) has been authorized by the Administrator; (b) is reasonably required within the course and scope of the Participant’s employment with the Company; or (c) is required by law, a court of competent jurisdiction or a governmental or regulatory agency. “</w:t>
      </w:r>
      <w:r>
        <w:rPr>
          <w:rFonts w:ascii="Times New Roman" w:cs="Times New Roman" w:eastAsia="Times New Roman" w:hAnsi="Times New Roman"/>
          <w:sz w:val="21"/>
          <w:szCs w:val="21"/>
          <w:b w:val="1"/>
          <w:bCs w:val="1"/>
          <w:i w:val="1"/>
          <w:iCs w:val="1"/>
          <w:color w:val="auto"/>
        </w:rPr>
        <w:t>Proprietary Information</w:t>
      </w:r>
      <w:r>
        <w:rPr>
          <w:rFonts w:ascii="Times New Roman" w:cs="Times New Roman" w:eastAsia="Times New Roman" w:hAnsi="Times New Roman"/>
          <w:sz w:val="21"/>
          <w:szCs w:val="21"/>
          <w:color w:val="auto"/>
        </w:rPr>
        <w:t xml:space="preserve">” shall mean (a) the name or address of any customer, supplier or parent or subsidiary entity of the Company Group or any information concerning the transactions or relations of any customer, supplier or parent or subsidiary of the Company Group or any of its equityholders; (b) any information concerning any product, service, technology or procedure offered or used by the Company Group, or under development by or being considered for use by the Company Group; (c) any information relating to marketing or pricing plans or methods, capital structure, or any business or strategic plans of the Company Group; (d) any inventions, innovations, trade secrets, patents and processes in any way relating, directly or indirectly, to the Company Group’s business developed by the Participant alone or in conjunction with others; and (e) any other information which the Administrator has determined by resolution and communicated to the Participant in writing to be proprietary information for purposes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“Proprietary Information” shall not include any information that is or becomes generally known to the public other than through actions of the Participant in violation of the restrictive covenants set forth in this Section 9 or any Similar Covenants. The Participant is hereby provided with written notice of immunity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9.3 The Participant acknowledges that in the course of the Participant’s employment with the Company Group the Participant will become familiar with Proprietary Information and that the Participant’s services will be of special, unique and extraordinary value to the Company Group. The covenant set forth in this Section 9.3 (the “</w:t>
      </w:r>
      <w:r>
        <w:rPr>
          <w:rFonts w:ascii="Times New Roman" w:cs="Times New Roman" w:eastAsia="Times New Roman" w:hAnsi="Times New Roman"/>
          <w:sz w:val="22"/>
          <w:szCs w:val="22"/>
          <w:b w:val="1"/>
          <w:bCs w:val="1"/>
          <w:i w:val="1"/>
          <w:iCs w:val="1"/>
          <w:color w:val="auto"/>
        </w:rPr>
        <w:t>Non-Competition Covenant</w:t>
      </w:r>
      <w:r>
        <w:rPr>
          <w:rFonts w:ascii="Times New Roman" w:cs="Times New Roman" w:eastAsia="Times New Roman" w:hAnsi="Times New Roman"/>
          <w:sz w:val="22"/>
          <w:szCs w:val="22"/>
          <w:color w:val="auto"/>
        </w:rPr>
        <w:t>”) shall become effective ten (10) business days after the Participant receives a copy of this Plan and signs a Participation Letter. The Participant acknowledges that, in special consideration for the Non-Competition Covenant, the Participant has been provided the benefits and opportunities set forth in this Plan, which the Participant acknowledges and agrees is fair and reasonable consideration independent from the Participant’s employment with the Company. The Participant acknowledges, and the Company is herein advising the Participant in writing,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Participant has the right to consult with the Participant’s counsel prior to signing the Participation Letter.</w:t>
      </w:r>
    </w:p>
    <w:p>
      <w:pPr>
        <w:spacing w:after="0" w:line="207" w:lineRule="exact"/>
        <w:rPr>
          <w:sz w:val="20"/>
          <w:szCs w:val="20"/>
          <w:color w:val="auto"/>
        </w:rPr>
      </w:pPr>
    </w:p>
    <w:p>
      <w:pPr>
        <w:jc w:val="both"/>
        <w:ind w:firstLine="1952"/>
        <w:spacing w:after="0" w:line="243" w:lineRule="auto"/>
        <w:tabs>
          <w:tab w:leader="none" w:pos="259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Participant’s employment with the Company and, if the Participant’s employment is terminated by the Company for Cause or by the Participant for any reason other than for Good Reason, for a period of twelve (12) months immediately following the Participant’s Termination of Employment (the “</w:t>
      </w:r>
      <w:r>
        <w:rPr>
          <w:rFonts w:ascii="Times New Roman" w:cs="Times New Roman" w:eastAsia="Times New Roman" w:hAnsi="Times New Roman"/>
          <w:sz w:val="21"/>
          <w:szCs w:val="21"/>
          <w:b w:val="1"/>
          <w:bCs w:val="1"/>
          <w:i w:val="1"/>
          <w:iCs w:val="1"/>
          <w:color w:val="auto"/>
        </w:rPr>
        <w:t>Non-Competition Restricted Period</w:t>
      </w:r>
      <w:r>
        <w:rPr>
          <w:rFonts w:ascii="Times New Roman" w:cs="Times New Roman" w:eastAsia="Times New Roman" w:hAnsi="Times New Roman"/>
          <w:sz w:val="21"/>
          <w:szCs w:val="21"/>
          <w:color w:val="auto"/>
        </w:rPr>
        <w:t>”), the Participant shall not directly or indirectly, for the Participant’s own benefit or for the benefit of any other individual or entity: (i) operate, control, or engage in or prepare to operate, control or engage in any Competing Business; (ii) own, finance, or invest in any Competing Business, other than as a passive owner of not more than two percent (2%) of the outstanding equity of any entity which is publicly traded or a mutual investment fund, so long as the Participant has no direct or indirect active participation in the business of such entity; or (iii) consult with or render services to any Competing Business, whether as an employee, consultant, contractor, advisor, director, officer, partner, member or in any other capacity (x) which involves the same or similar types of services the Participant performed for the Company at any time during the last two years of the Participant’s employment, (y) which involves executive, operational, financial, or strategic responsibilities, or (z) in which the Participant could reasonably be expected to use or disclose Proprietary Information, in each case (i), (ii), or (iii) in each city, county, state, territory, country and area in which the Participant provided services or had a material presence or influence at any time during the last two years of the Participant’s employment or in which the Company or other Company Group entity as applicable operates or does business or has plans to operate or do business as of the Participant’s Termination of Employment. For the avoidance of doubt, the Non-Competition Covenant shall not apply to the Participant following the Termination of Employment by the Company without Cause or by the Participant for Good Reason.</w:t>
      </w:r>
    </w:p>
    <w:p>
      <w:pPr>
        <w:spacing w:after="0" w:line="187" w:lineRule="exact"/>
        <w:rPr>
          <w:rFonts w:ascii="Times New Roman" w:cs="Times New Roman" w:eastAsia="Times New Roman" w:hAnsi="Times New Roman"/>
          <w:sz w:val="21"/>
          <w:szCs w:val="21"/>
          <w:color w:val="auto"/>
        </w:rPr>
      </w:pPr>
    </w:p>
    <w:p>
      <w:pPr>
        <w:jc w:val="both"/>
        <w:ind w:firstLine="1952"/>
        <w:spacing w:after="0" w:line="236" w:lineRule="auto"/>
        <w:tabs>
          <w:tab w:leader="none" w:pos="259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 breaches his or her fiduciary duty, if any, to the Company or other Company Group entity or unlawfully takes, physically or electronically, property belonging to the Company or other Company Group entity, in each case as reasonably determined by the Company, the post-termination Non-Competition Restricted Period as defined above shall be extended for twelve (12) additional months, for a maximum period of twenty-four (24) months immediately following the Participant’s Termination of Employment.</w:t>
      </w:r>
    </w:p>
    <w:p>
      <w:pPr>
        <w:spacing w:after="0" w:line="181"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the Participant during the post-termination Non-Competition Restricted Period, if any, at a rate that equals fifty (50) percent of the Participant’s highest Base Salary Rate within the two years prior to the Participant’s Termination of Employment, less applicable taxes and withholdings, in accordance with the Company’s regular payroll procedure (the “</w:t>
      </w:r>
      <w:r>
        <w:rPr>
          <w:rFonts w:ascii="Times New Roman" w:cs="Times New Roman" w:eastAsia="Times New Roman" w:hAnsi="Times New Roman"/>
          <w:sz w:val="22"/>
          <w:szCs w:val="22"/>
          <w:b w:val="1"/>
          <w:bCs w:val="1"/>
          <w:i w:val="1"/>
          <w:iCs w:val="1"/>
          <w:color w:val="auto"/>
        </w:rPr>
        <w:t>Garden Leave Payments</w:t>
      </w:r>
      <w:r>
        <w:rPr>
          <w:rFonts w:ascii="Times New Roman" w:cs="Times New Roman" w:eastAsia="Times New Roman" w:hAnsi="Times New Roman"/>
          <w:sz w:val="22"/>
          <w:szCs w:val="22"/>
          <w:color w:val="auto"/>
        </w:rPr>
        <w:t>”); provided, the Company shall not be required to pay any Garden Leave Payments: (i) if the Company in its discretion expressly waives in writing the post-termination Non-Competition Covenant at any time on or prior to the effective date of the Participant’s Termination of Employment; (ii) if the Participant violates the Non-Competition Covenant or other non-competition covenants agreed to by the Participant as reasonably determined by the Company; (iii) during any post-termination Non-Competition Restricted Period that has been increased beyond twelve (12) months for the reasons set forth in Section 9.3(b) above; (iv) if following the Participant’s Termination of Employment the Company and the Participant so mutually agree; or (v) if the Participant’s Termination of Employment is by the Company without Cause or for the Participant for Good Reason or if for any reason by law the Non-Competition Covenant is ineffective following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9" w:name="page80"/>
    <w:bookmarkEnd w:id="79"/>
    <w:p>
      <w:pPr>
        <w:jc w:val="both"/>
        <w:spacing w:after="0" w:line="238" w:lineRule="auto"/>
        <w:rPr>
          <w:sz w:val="20"/>
          <w:szCs w:val="20"/>
          <w:color w:val="auto"/>
        </w:rPr>
      </w:pPr>
      <w:r>
        <w:rPr>
          <w:rFonts w:ascii="Times New Roman" w:cs="Times New Roman" w:eastAsia="Times New Roman" w:hAnsi="Times New Roman"/>
          <w:sz w:val="22"/>
          <w:szCs w:val="22"/>
          <w:color w:val="auto"/>
        </w:rPr>
        <w:t>Termination of Employment. The Participant expressly acknowledges and agrees that, in the event the Company reasonably determines that the Participant has breached the Non-Competition Covenant, the Company may refuse to make any Garden Leave Payments, and the Participant shall immediately return to the Company any Garden Leave Payments already received pursuant to this Section 9.3(c), in addition to and without limiting any other legal or equitable relief available to the Company or other Company Group entity.</w:t>
      </w:r>
    </w:p>
    <w:p>
      <w:pPr>
        <w:spacing w:after="0" w:line="177"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9.4 During the Participant’s employment with the Company and for a period of twelve (12) months immediately following the Participant’s Termination of Employment for any reason (the “</w:t>
      </w:r>
      <w:r>
        <w:rPr>
          <w:rFonts w:ascii="Times New Roman" w:cs="Times New Roman" w:eastAsia="Times New Roman" w:hAnsi="Times New Roman"/>
          <w:sz w:val="21"/>
          <w:szCs w:val="21"/>
          <w:b w:val="1"/>
          <w:bCs w:val="1"/>
          <w:i w:val="1"/>
          <w:iCs w:val="1"/>
          <w:color w:val="auto"/>
        </w:rPr>
        <w:t>Non-Solicitation Restricted Period</w:t>
      </w:r>
      <w:r>
        <w:rPr>
          <w:rFonts w:ascii="Times New Roman" w:cs="Times New Roman" w:eastAsia="Times New Roman" w:hAnsi="Times New Roman"/>
          <w:sz w:val="21"/>
          <w:szCs w:val="21"/>
          <w:color w:val="auto"/>
        </w:rPr>
        <w:t>”), the Participant shall not directly or indirectly, for the Participant’s own benefit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the benefit of any other individual or entity: (a) induce or attempt to induce any employee of the Company or other Company Group entity to terminate such employment, or in any way interfere with the employee relationship between the Company Group and any such employee; (b) hire any person who is, or, at any time during the twelve (12)-month period immediately prior to the date of the Participant’s Termination of Employment, was, an employee of the Company or other Company Group entity; (c) solicit business from any customer of the Company or other Company Group entity, or provide or offer to provide any customer of the Company or other Company Group entity any products or services that are competitive with or otherwise similar to any product or service provided or that could be provided by the Company or other Company Group entity, excluding any customers with whom the Participant had no contact or about whom the Participant acquired no information during the Participant’s employment; or (d) induce or attempt to induce any customer, supplier, vendor, or other individual or entity having a business relationship with the Company or other Company Group entity to cease doing business with the Company Group or interfere materially with the relationship between any such person and any Company Group entity. Without limiting the Company Group’s ability to seek other remedies available in law or equity, if the Participant violates any of the provisions of this Section 9.4, the Non-Solicitation Restricted Period shall be extended by one day for each day that the Participant is in violation of such provisions, up to a maximum extension equal to the length of the post-termination Non-Solicitation Restricted Period, so as to give the Company Group the full benefit of the bargained-for length of forbearance.</w:t>
      </w:r>
    </w:p>
    <w:p>
      <w:pPr>
        <w:spacing w:after="0" w:line="18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9.5 The Participant agrees not to disparage the Company Group, any of their products or practices, any of their directors, officers, agents, representatives, employees or any of their parent or subsidiary entities, either orally or in writing, at any time; except that nothing herein shall restrict the Participant from making truthful statements (a) in response to a valid subpoena or court order, (b) to a government agency, (c) regarding unlawful acts in the workplace, or (d) which otherwise under applicable law cannot be subject to such a non-disparagement agreement.</w:t>
      </w:r>
    </w:p>
    <w:p>
      <w:pPr>
        <w:spacing w:after="0" w:line="18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9.6 The parties hereto agree that the time, duration and area for which the covenants set forth in this Section 9 are to be effective are reasonable. In the event that any court of competent jurisdiction determines that the time period, area, activity restraint or other term of this Section 9 is unreasonable and unenforceable, the parties agree that such court shall judicially modify such term only to the extent needed to render the covenants reasonable and enforce such covenants as judicially modified. If any term is deemed unenforceable and incapable of such judicial modification, it shall be severed from this Plan, and all remaining terms enforced. The parties intend that this Section 9 will be deemed to be a series of separate covenants, one for each and every city, county, parish, state, and country and other subdivision thereof. The Participant agrees that damages are an inadequate remedy for any breach of the covenants in this Section 9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0" w:name="page81"/>
    <w:bookmarkEnd w:id="80"/>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will be entitled to equitable relief in the form of preliminary and permanent injunctions without bond or other security upon any actual or threatened breach of this Section 9, in addition to and without waiving any monetary or other remedies available at law. The Participant acknowledges and agrees that this Section 9 (a) is ancillary to a valid employment relationship with the Company or any other member of the Company Group,</w:t>
      </w:r>
    </w:p>
    <w:p>
      <w:pPr>
        <w:spacing w:after="0" w:line="2" w:lineRule="exact"/>
        <w:rPr>
          <w:sz w:val="20"/>
          <w:szCs w:val="20"/>
          <w:color w:val="auto"/>
        </w:rPr>
      </w:pPr>
    </w:p>
    <w:p>
      <w:pPr>
        <w:jc w:val="both"/>
        <w:ind w:firstLine="8"/>
        <w:spacing w:after="0" w:line="232" w:lineRule="auto"/>
        <w:tabs>
          <w:tab w:leader="none" w:pos="35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reasonably necessary to protect the Company Group’s legitimate business interest (including, without limitation, the Company Group’s customer relationships and Proprietary Information), and (c) does not unreasonably restrict the Participant’s right to work in his or her chosen profession. Notwithstanding anything to the contrary, nothing herein is intended to or will prohibit the Participant from filing a charge with, reporting possible violations of law or regulation to, participating in any investigation by, cooperating with, or communicating directly with, or providing information in confidence to, any governmental entity or making other disclosures that are protected under the whistleblower provisions of applicable law or regulation.</w:t>
      </w:r>
    </w:p>
    <w:p>
      <w:pPr>
        <w:spacing w:after="0" w:line="18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9.7 Notwithstanding any other provision to the contrary, the rights and obligations of the parties under this Section 9 shall be governed in all respects by the laws of the Commonwealth of Massachusetts exclusively, without reference to any conflict of laws rule that would result in the application of the laws of any other jurisdiction. The parties agree that all disputes arising under this Section 9 shall be adjudicated in the state and federal courts having jurisdiction over disputes arising in Suffolk County, Massachusetts, and the Participant hereby agrees to consent to the personal jurisdiction of such court. The parties hereto each hereby irrevocably waive any right to a trial by jury in any action, suit or other legal proceeding arising under or relating to any provision of this Section 9.</w:t>
      </w:r>
    </w:p>
    <w:p>
      <w:pPr>
        <w:spacing w:after="0" w:line="12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15"/>
          <w:szCs w:val="15"/>
          <w:b w:val="1"/>
          <w:bCs w:val="1"/>
          <w:color w:val="auto"/>
        </w:rPr>
        <w:t>administration</w:t>
      </w:r>
    </w:p>
    <w:p>
      <w:pPr>
        <w:spacing w:after="0" w:line="26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10.1 This Plan is administered by the Administrator. The Administrator, from time to time, may also appoint such individuals to act as the Administrator’s representatives as the Administrator considers necessary or desirable for the effective administration of the Plan.</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10.2 If the Administrator is required to exercise its powers with respect to an issue that affects only one of the Administrator members, then such member shall recuse themselves and be replaced by the Company’s General Counsel.</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10.3 The Administrator, from time to time, may adopt such rules and regulations as may be necessary or desirable for the proper and efficient administration of the Plan and as are consistent with the terms of the Plan.</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10.4 In administering the Plan, the Administrator (and its appointed representative) shall have the sole and absolute discretionary authority to construe and interpret the provisions of the Plan (and any related or underlying documents or policies), to interpret applicable law, and make factual determinations thereunder, including the authority to determine the eligibility of employees and the amount of benefits payable under the Plan. Any interpretation of this Plan and any decision on any matter within the discretion of the Administrator made by the Administrator in good faith is binding on all persons. Notwithstanding the discretion granted to the Administrator, if its decision is challenged in a legal proceeding, the Administrator’s interpretations and determinations will be reviewed under a preponderance of the evidence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1" w:name="page82"/>
    <w:bookmarkEnd w:id="81"/>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10.5</w:t>
        <w:tab/>
        <w:t>The Administrator keeps records of this Plan and is responsible for the administration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Plan.</w:t>
      </w:r>
    </w:p>
    <w:p>
      <w:pPr>
        <w:spacing w:after="0" w:line="18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10.6 If, due to errors in drafting, any Plan provision does not accurately reflect its intended meaning, as demonstrated by consistent interpretations or other evidence of intent, or as determined by the Administrator in its sole and absolute discretion, the provision shall be considered ambiguous and shall be interpreted by the Administrator in a fashion consistent with its intent, as determined in the sole and absolute discretion of the Administrator.</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10.7 This Section may not be invoked by any employee, the Participant or other person to require this Plan to be interpreted in a manner inconsistent with its interpretation by the Administrator.</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10.8 The Company will pay all costs of administration, except as provided with respect to disputes below.</w:t>
      </w:r>
    </w:p>
    <w:p>
      <w:pPr>
        <w:spacing w:after="0" w:line="154"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laims for</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enefits</w:t>
      </w:r>
    </w:p>
    <w:p>
      <w:pPr>
        <w:spacing w:after="0" w:line="206" w:lineRule="exact"/>
        <w:rPr>
          <w:sz w:val="20"/>
          <w:szCs w:val="20"/>
          <w:color w:val="auto"/>
        </w:rPr>
      </w:pPr>
    </w:p>
    <w:p>
      <w:pPr>
        <w:jc w:val="both"/>
        <w:ind w:right="20"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ERISA Plan.</w:t>
      </w:r>
      <w:r>
        <w:rPr>
          <w:rFonts w:ascii="Times New Roman" w:cs="Times New Roman" w:eastAsia="Times New Roman" w:hAnsi="Times New Roman"/>
          <w:sz w:val="22"/>
          <w:szCs w:val="22"/>
          <w:color w:val="auto"/>
        </w:rPr>
        <w:t xml:space="preserve"> This Plan is intended to be (a) an employee welfare plan as defined in Section 3(1) of ERISA and (b) a “top-hat” plan maintained for the benefit of a select group of management or highly compensated employees of the Company Group.</w:t>
      </w:r>
    </w:p>
    <w:p>
      <w:pPr>
        <w:spacing w:after="0" w:line="16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Application for Benefits.</w:t>
      </w:r>
      <w:r>
        <w:rPr>
          <w:rFonts w:ascii="Times New Roman" w:cs="Times New Roman" w:eastAsia="Times New Roman" w:hAnsi="Times New Roman"/>
          <w:sz w:val="22"/>
          <w:szCs w:val="22"/>
          <w:color w:val="auto"/>
        </w:rPr>
        <w:t xml:space="preserve"> All applications for payments and/or benefits under the Plan (“</w:t>
      </w:r>
      <w:r>
        <w:rPr>
          <w:rFonts w:ascii="Times New Roman" w:cs="Times New Roman" w:eastAsia="Times New Roman" w:hAnsi="Times New Roman"/>
          <w:sz w:val="22"/>
          <w:szCs w:val="22"/>
          <w:b w:val="1"/>
          <w:bCs w:val="1"/>
          <w:i w:val="1"/>
          <w:iCs w:val="1"/>
          <w:color w:val="auto"/>
        </w:rPr>
        <w:t>Benefits</w:t>
      </w:r>
      <w:r>
        <w:rPr>
          <w:rFonts w:ascii="Times New Roman" w:cs="Times New Roman" w:eastAsia="Times New Roman" w:hAnsi="Times New Roman"/>
          <w:sz w:val="22"/>
          <w:szCs w:val="22"/>
          <w:color w:val="auto"/>
        </w:rPr>
        <w:t>”) shall be submitted to the Administrator with a copy to the Company’s General Counsel, at the addresses indicated in the “Contacts for Claims and Appeals” section of this Plan. Applications for Benefits must be in writing on forms acceptable to the Administrator and must be signed by the Participant, beneficiary or other person (the “</w:t>
      </w:r>
      <w:r>
        <w:rPr>
          <w:rFonts w:ascii="Times New Roman" w:cs="Times New Roman" w:eastAsia="Times New Roman" w:hAnsi="Times New Roman"/>
          <w:sz w:val="22"/>
          <w:szCs w:val="22"/>
          <w:b w:val="1"/>
          <w:bCs w:val="1"/>
          <w:i w:val="1"/>
          <w:iCs w:val="1"/>
          <w:color w:val="auto"/>
        </w:rPr>
        <w:t>Claimant</w:t>
      </w:r>
      <w:r>
        <w:rPr>
          <w:rFonts w:ascii="Times New Roman" w:cs="Times New Roman" w:eastAsia="Times New Roman" w:hAnsi="Times New Roman"/>
          <w:sz w:val="22"/>
          <w:szCs w:val="22"/>
          <w:color w:val="auto"/>
        </w:rPr>
        <w:t>”). A Claimant may authorize a representative to act on his or her behalf with respect to any claim under the Plan. Claims for Benefits under the Plan shall be administered in accordance with Section 503 of ERISA and the Department of Labor regulations and guidance thereunder. The Administrator reserves the right to require the Claimant to furnish such other proof of the Claimant’s expenses, including without limitation, receipts, canceled checks, bills, and invoices as may be required by the Administrator.</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b w:val="1"/>
          <w:bCs w:val="1"/>
          <w:color w:val="auto"/>
        </w:rPr>
        <w:t>Appeal of Denial of Claim.</w:t>
      </w:r>
    </w:p>
    <w:p>
      <w:pPr>
        <w:spacing w:after="0" w:line="210" w:lineRule="exact"/>
        <w:rPr>
          <w:sz w:val="20"/>
          <w:szCs w:val="20"/>
          <w:color w:val="auto"/>
        </w:rPr>
      </w:pPr>
    </w:p>
    <w:p>
      <w:pPr>
        <w:jc w:val="both"/>
        <w:ind w:right="20" w:firstLine="1952"/>
        <w:spacing w:after="0" w:line="244" w:lineRule="auto"/>
        <w:tabs>
          <w:tab w:leader="none" w:pos="259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Claimant’s claim for Benefits is denied, the Administrator shall provide notice to the Claimant in writing of the denial within ninety (90) days after its submission. The notice shall be written in a manner calculated to be understood by the Claimant and shall include:</w:t>
      </w:r>
    </w:p>
    <w:p>
      <w:pPr>
        <w:spacing w:after="0" w:line="17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references to the Plan provisions on which the denial is based;</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Claimant to perfect the claim and an explanation of why such material or information is necessary;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2" w:name="page83"/>
    <w:bookmarkEnd w:id="82"/>
    <w:p>
      <w:pPr>
        <w:jc w:val="both"/>
        <w:ind w:firstLine="2600"/>
        <w:spacing w:after="0" w:line="244" w:lineRule="auto"/>
        <w:tabs>
          <w:tab w:leader="none" w:pos="32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claims review procedures and a statement of claimant’s right to bring a civil action under ERISA Section 502(a), subject to the Plan’s arbitration provisions, following a final adverse benefit determination.</w:t>
      </w:r>
    </w:p>
    <w:p>
      <w:pPr>
        <w:spacing w:after="0" w:line="17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special circumstances require an extension of time for processing the initial claim, a written notice of the extension, the reason therefor, and the date by which the Administrator expects to render a decision shall be furnished to the Claimant before the end of the initial ninety (90) day period. In no event shall such extension exceed ninety (90) days.</w:t>
      </w:r>
    </w:p>
    <w:p>
      <w:pPr>
        <w:spacing w:after="0" w:line="180"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for Benefits is denied, the Claimant, at the Claimant’s sole expense, may submit a written appeal of the denial to the Administrator within sixty (60) days of the receipt of written notice of the denial, subject to the temporary COVID-19 extension of deadlines described below, at the address indicated in the “Contacts for Claims and Appeals” section of the Plan. In pursuing such appeal the Claimant:</w:t>
      </w:r>
    </w:p>
    <w:p>
      <w:pPr>
        <w:spacing w:after="0" w:line="18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be provided, upon request and without charge, reasonable access to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copies of all documents, records and other information relevant to the Claimant’s claim for benefits;</w:t>
      </w:r>
    </w:p>
    <w:p>
      <w:pPr>
        <w:spacing w:after="0" w:line="182"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submit written comments, documents, records and other information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the claim; and</w:t>
      </w:r>
    </w:p>
    <w:p>
      <w:pPr>
        <w:spacing w:after="0" w:line="182"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spacing w:after="0" w:line="173" w:lineRule="exact"/>
        <w:rPr>
          <w:rFonts w:ascii="Times New Roman" w:cs="Times New Roman" w:eastAsia="Times New Roman" w:hAnsi="Times New Roman"/>
          <w:sz w:val="22"/>
          <w:szCs w:val="22"/>
          <w:color w:val="auto"/>
        </w:rPr>
      </w:pPr>
    </w:p>
    <w:p>
      <w:pPr>
        <w:jc w:val="both"/>
        <w:ind w:firstLine="1952"/>
        <w:spacing w:after="0" w:line="246" w:lineRule="auto"/>
        <w:tabs>
          <w:tab w:leader="none" w:pos="259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will conduct a full and fair review of the claim and the initial claim denial. The decision on review shall be made within sixty (60) days of receipt of the request for review, unless special circumstances require an extension of time for processing, in which case a decision shall be rendered as soon as possible, but not later than one hundred twenty (120) days after receipt of the request for review. If such an extension of time is required, written notice of the extension shall be furnished to the Claimant before the end of the original sixty (60) day period and shall indicate the special circumstances requiring such extension of time and the date by which the Administrator expects to render the decision on review. The decision on review shall be made in writing, shall be written in a manner calculated to be understood by the Claimant, and, if the decision on review is a denial of the appealed claim for Benefits, shall include:</w:t>
      </w:r>
    </w:p>
    <w:p>
      <w:pPr>
        <w:spacing w:after="0" w:line="175"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references to the Plan provisions on which the denial is based;</w:t>
      </w:r>
    </w:p>
    <w:p>
      <w:pPr>
        <w:spacing w:after="0" w:line="20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Claimant is entitled to receive, upon request and without charge, reasonable access to, and copies of, all documents, records and other information relevant to the claim for Benefits; and</w:t>
      </w:r>
    </w:p>
    <w:p>
      <w:pPr>
        <w:spacing w:after="0" w:line="173" w:lineRule="exact"/>
        <w:rPr>
          <w:rFonts w:ascii="Times New Roman" w:cs="Times New Roman" w:eastAsia="Times New Roman" w:hAnsi="Times New Roman"/>
          <w:sz w:val="22"/>
          <w:szCs w:val="22"/>
          <w:color w:val="auto"/>
        </w:rPr>
      </w:pPr>
    </w:p>
    <w:p>
      <w:pPr>
        <w:ind w:firstLine="2600"/>
        <w:spacing w:after="0" w:line="258" w:lineRule="auto"/>
        <w:tabs>
          <w:tab w:leader="none" w:pos="3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of claimant’s right to bring a civil action under ERISA Section 502(a), subject to the Plan’s arbitration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3" w:name="page84"/>
    <w:bookmarkEnd w:id="83"/>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Disputes Subject to Arbitration.</w:t>
      </w:r>
      <w:r>
        <w:rPr>
          <w:rFonts w:ascii="Times New Roman" w:cs="Times New Roman" w:eastAsia="Times New Roman" w:hAnsi="Times New Roman"/>
          <w:sz w:val="22"/>
          <w:szCs w:val="22"/>
          <w:color w:val="auto"/>
        </w:rPr>
        <w:t xml:space="preserve"> Except as provided in Section 9, any claim, dispute or controversy arising out of this Plan, the interpretation, validity or enforceability of this Plan or the alleged breach thereof shall be submitted by the parties to binding arbitration by the American Arbitration Association (“</w:t>
      </w:r>
      <w:r>
        <w:rPr>
          <w:rFonts w:ascii="Times New Roman" w:cs="Times New Roman" w:eastAsia="Times New Roman" w:hAnsi="Times New Roman"/>
          <w:sz w:val="22"/>
          <w:szCs w:val="22"/>
          <w:b w:val="1"/>
          <w:bCs w:val="1"/>
          <w:i w:val="1"/>
          <w:iCs w:val="1"/>
          <w:color w:val="auto"/>
        </w:rPr>
        <w:t>AAA</w:t>
      </w:r>
      <w:r>
        <w:rPr>
          <w:rFonts w:ascii="Times New Roman" w:cs="Times New Roman" w:eastAsia="Times New Roman" w:hAnsi="Times New Roman"/>
          <w:sz w:val="22"/>
          <w:szCs w:val="22"/>
          <w:color w:val="auto"/>
        </w:rPr>
        <w:t>”) or as otherwise required by ERISA; provided, however, that (a) the arbitrator shall have no authority to make any ruling or judgment that would confer any rights with respect to trade secrets, confidential and proprietary information or other intellectual property; and (b) this arbitration provision shall not preclude the parties from seeking legal and equitable relief from any court having jurisdiction with respect to any disputes or claims relating to or arising out of the misuse or misappropriation of intellectual property. Such arbitration shall be conducted in accordance with the then-existing AAA Employment Arbitration Rules and Mediation Procedures. The rules can be found at https://www.adr.org/employment, or a copy will be provided upon request. Judgment may be entered on the award of the arbitrator in any court having jurisdiction.</w:t>
      </w:r>
    </w:p>
    <w:p>
      <w:pPr>
        <w:spacing w:after="0" w:line="176" w:lineRule="exact"/>
        <w:rPr>
          <w:sz w:val="20"/>
          <w:szCs w:val="20"/>
          <w:color w:val="auto"/>
        </w:rPr>
      </w:pPr>
    </w:p>
    <w:p>
      <w:pPr>
        <w:ind w:firstLine="1952"/>
        <w:spacing w:after="0" w:line="262" w:lineRule="auto"/>
        <w:tabs>
          <w:tab w:leader="none" w:pos="25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Site of Arbitration. </w:t>
      </w:r>
      <w:r>
        <w:rPr>
          <w:rFonts w:ascii="Times New Roman" w:cs="Times New Roman" w:eastAsia="Times New Roman" w:hAnsi="Times New Roman"/>
          <w:sz w:val="22"/>
          <w:szCs w:val="22"/>
          <w:color w:val="auto"/>
        </w:rPr>
        <w:t>The site of the arbitration proceeding shall be in Boston,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Massachusetts or any other site mutually agreed to by the Company and the Participant.</w:t>
      </w:r>
    </w:p>
    <w:p>
      <w:pPr>
        <w:spacing w:after="0" w:line="149" w:lineRule="exact"/>
        <w:rPr>
          <w:rFonts w:ascii="Times New Roman" w:cs="Times New Roman" w:eastAsia="Times New Roman" w:hAnsi="Times New Roman"/>
          <w:sz w:val="22"/>
          <w:szCs w:val="22"/>
          <w:color w:val="auto"/>
        </w:rPr>
      </w:pPr>
    </w:p>
    <w:p>
      <w:pPr>
        <w:jc w:val="both"/>
        <w:ind w:firstLine="1952"/>
        <w:spacing w:after="0" w:line="241" w:lineRule="auto"/>
        <w:tabs>
          <w:tab w:leader="none" w:pos="25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Costs and Expenses Borne by Company. </w:t>
      </w:r>
      <w:r>
        <w:rPr>
          <w:rFonts w:ascii="Times New Roman" w:cs="Times New Roman" w:eastAsia="Times New Roman" w:hAnsi="Times New Roman"/>
          <w:sz w:val="22"/>
          <w:szCs w:val="22"/>
          <w:color w:val="auto"/>
        </w:rPr>
        <w:t>All costs and expenses of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paid by the Company. Notwithstanding the foregoing, if the Participant initiates the arbitration, and the arbitrator finds that the Participant’s claims were totally without merit or frivolous, then the Participant shall be responsible for the Participant’s own attorneys’ fees and costs.</w:t>
      </w:r>
    </w:p>
    <w:p>
      <w:pPr>
        <w:spacing w:after="0" w:line="17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11.5 If any judicial proceeding is undertaken to appeal or arbitrate the denial of a claim or bring any other action under ERISA other than a breach of fiduciary duty claim, the evidence presented may be strictly limited to the evidence timely presented to the Administrator. In addition, any such judicial proceeding must be filed no later than two (2) years from the date of the final adverse benefit determination of an applicant’s appeal of the denial of his or her claim for benefits. Notwithstanding the foregoing, if the applicable, analogous state statute of limitations has run or will run before the aforementioned two (2)-year period, the state’s statute of limitations shall be controlling.</w:t>
      </w:r>
    </w:p>
    <w:p>
      <w:pPr>
        <w:spacing w:after="0" w:line="179"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Neither the establishment of the Plan, nor any amendment thereto, nor the payment of any benefits shall be construed as giving any person the right to be retained by the Company, a Successor or any other member of the Company Group. Except as otherwise established in an employment agreement between the Company Group and a Participant, the employment relationship between the Participant and the Company is an “at-will” relationship. Accordingly, either the Participant or the Company may terminate the relationship at any time, with or without Cause, and with or without notice except as otherwise provided by Section 14. Any changes to the Participant’s job duties, reporting obligations, compensation, benefits or other terms of employment shall not modify the Participant’s restrictive covenants set forth in Section 9, which shall continue in full force and effect pursuant to their terms. In addition, nothing in this Plan shall in any manner obligate any Successor or other member of the Company Group to offer employment to any Participant or to continue the employment of any Participant whom it does hire for any specific duration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84" w:name="page85"/>
    <w:bookmarkEnd w:id="84"/>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uccessors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ssigns</w:t>
      </w:r>
    </w:p>
    <w:p>
      <w:pPr>
        <w:spacing w:after="0" w:line="207"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Successors of the Company.</w:t>
      </w:r>
      <w:r>
        <w:rPr>
          <w:rFonts w:ascii="Times New Roman" w:cs="Times New Roman" w:eastAsia="Times New Roman" w:hAnsi="Times New Roman"/>
          <w:sz w:val="22"/>
          <w:szCs w:val="22"/>
          <w:color w:val="auto"/>
        </w:rPr>
        <w:t xml:space="preserve"> The Company shall require any Successor, expressly, absolutely and unconditionally to assume and agree to perform this Plan in the same manner and to the same extent that the Company would be required to perform it if no such succession or assignment had taken place. Failure of the Company to obtain such agreement shall be a material breach of this Plan and shall entitle the Participant to resign for Good Reason and to receive the benefits provided under this Plan in the event of a qualifying Termination of Employment.</w:t>
      </w:r>
    </w:p>
    <w:p>
      <w:pPr>
        <w:spacing w:after="0" w:line="17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Acknowledgment by Company.</w:t>
      </w:r>
      <w:r>
        <w:rPr>
          <w:rFonts w:ascii="Times New Roman" w:cs="Times New Roman" w:eastAsia="Times New Roman" w:hAnsi="Times New Roman"/>
          <w:sz w:val="22"/>
          <w:szCs w:val="22"/>
          <w:color w:val="auto"/>
        </w:rPr>
        <w:t xml:space="preserve"> If, after a Change in Control, the Company fails to reasonably confirm that it has performed the obligation described in Section 13.1 within thirty (30) days after written notice from the Participant, such failure shall be a material breach of this Plan and shall entitle the Participant to resign for Good Reason and to receive the benefits provided under this Plan in the event of a qualifying Termination of Employment.</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b w:val="1"/>
          <w:bCs w:val="1"/>
          <w:color w:val="auto"/>
        </w:rPr>
        <w:t>Heirs and Representatives of Participant.</w:t>
      </w:r>
      <w:r>
        <w:rPr>
          <w:rFonts w:ascii="Times New Roman" w:cs="Times New Roman" w:eastAsia="Times New Roman" w:hAnsi="Times New Roman"/>
          <w:sz w:val="22"/>
          <w:szCs w:val="22"/>
          <w:color w:val="auto"/>
        </w:rPr>
        <w:t xml:space="preserve"> This Plan shall inure to the benefit of and be enforceable by the Participant’s personal or legal representatives, executors, administrators, successors, heirs, distributees, devises, legatees or other beneficiaries. If the Participant should die while any amount would still be payable to the Participant hereunder (other than amounts which, by their terms, terminate upon the death of the Participant) if the Participant had continued to live, then all such amounts, unless otherwise provided herein, shall be paid in accordance with the terms of this Plan to the executors, personal representatives or administrators of the Participant’s estate.</w:t>
      </w:r>
    </w:p>
    <w:p>
      <w:pPr>
        <w:spacing w:after="0" w:line="176"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otices</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For purposes of this Plan, notices and all other communications shall be in writing and shall be deemed to have been duly given when personally delivered or when mailed by United States certified mail, return receipt requested, or by overnight courier, postage prepaid, as follows:</w:t>
      </w:r>
    </w:p>
    <w:p>
      <w:pPr>
        <w:spacing w:after="0" w:line="171" w:lineRule="exact"/>
        <w:rPr>
          <w:sz w:val="20"/>
          <w:szCs w:val="20"/>
          <w:color w:val="auto"/>
        </w:rPr>
      </w:pPr>
    </w:p>
    <w:p>
      <w:pPr>
        <w:ind w:left="2600" w:hanging="648"/>
        <w:spacing w:after="0"/>
        <w:tabs>
          <w:tab w:leader="none" w:pos="26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w:t>
      </w:r>
    </w:p>
    <w:p>
      <w:pPr>
        <w:spacing w:after="0" w:line="206" w:lineRule="exact"/>
        <w:rPr>
          <w:rFonts w:ascii="Times New Roman" w:cs="Times New Roman" w:eastAsia="Times New Roman" w:hAnsi="Times New Roman"/>
          <w:sz w:val="22"/>
          <w:szCs w:val="22"/>
          <w:color w:val="auto"/>
        </w:rPr>
      </w:pPr>
    </w:p>
    <w:p>
      <w:pPr>
        <w:ind w:left="26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Yesway, Inc.</w:t>
      </w:r>
    </w:p>
    <w:p>
      <w:pPr>
        <w:spacing w:after="0" w:line="14" w:lineRule="exact"/>
        <w:rPr>
          <w:rFonts w:ascii="Times New Roman" w:cs="Times New Roman" w:eastAsia="Times New Roman" w:hAnsi="Times New Roman"/>
          <w:sz w:val="22"/>
          <w:szCs w:val="22"/>
          <w:color w:val="auto"/>
        </w:rPr>
      </w:pPr>
    </w:p>
    <w:p>
      <w:pPr>
        <w:ind w:left="2600" w:right="49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2301 Eagle Parkway Fort Worth, TX 76177 Attention: General Counsel</w:t>
      </w:r>
    </w:p>
    <w:p>
      <w:pPr>
        <w:spacing w:after="0" w:line="16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Participant, at the home address which the Company has its personnel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records.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Either party may provide the other with notices of change of address, which shall be effective upon receipt.</w:t>
      </w:r>
    </w:p>
    <w:p>
      <w:pPr>
        <w:spacing w:after="0" w:line="20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xml:space="preserve"> Any termination by the Company of the Participant’s employment or any resignation by the Participant shall be communicated by a notice of termination or resignation to the other party hereto given in accordance with Section 14.1.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85" w:name="page86"/>
    <w:bookmarkEnd w:id="85"/>
    <w:p>
      <w:pPr>
        <w:jc w:val="both"/>
        <w:spacing w:after="0" w:line="244" w:lineRule="auto"/>
        <w:rPr>
          <w:sz w:val="20"/>
          <w:szCs w:val="20"/>
          <w:color w:val="auto"/>
        </w:rPr>
      </w:pPr>
      <w:r>
        <w:rPr>
          <w:rFonts w:ascii="Times New Roman" w:cs="Times New Roman" w:eastAsia="Times New Roman" w:hAnsi="Times New Roman"/>
          <w:sz w:val="22"/>
          <w:szCs w:val="22"/>
          <w:color w:val="auto"/>
        </w:rPr>
        <w:t>notice shall indicate the specific termination provision in this Plan relied upon, shall set forth in reasonable detail the facts and circumstances claimed to provide a basis for termination under the provision so indicated, and shall specify the termination date.</w:t>
      </w:r>
    </w:p>
    <w:p>
      <w:pPr>
        <w:spacing w:after="0" w:line="170"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Plan may be terminated or amended by the Administrator (acting solely in its settlor, not fiduciary capacity) in its sole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notwithstanding the foregoing, no termination or amendment of the Plan will affect any rights or obligations to provide payments or benefits due or payable hereunder prior to such termination or amendment;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Plan may not be amended at any time to substantially reduce payments or benefits due or payable hereunder to a Participant without such Participant’s prior consent.</w:t>
      </w:r>
    </w:p>
    <w:p>
      <w:pPr>
        <w:spacing w:after="0" w:line="177"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The payments and benefits under the Plan are intended to comply with or be exempt from Section 409A and, accordingly, to the maximum extent permitted, the Plan shall be interpreted to be in compliance with or exempt from Section 409A. If the Company determines that any particular provision of the Plan would cause a Participant to incur any tax or interest under Section 409A, the Company may, but is not obligated to, take commercially reasonable efforts to reform such provision to the minimum extent reasonably appropriate to comply with or be exempt from Section 409A,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modifications shall not increase the cost or liability to the Company. To the extent that any provision of the Plan is modified in order to comply with or be exempt from Section 409A, such modification shall be made in good faith and shall, to the maximum extent reasonably possible, maintain the original intent and economic benefit to the Participants and the Company of the applicable provision without resulting in the imposition of a tax under Section 409A. Notwithstanding the foregoing, this Section 16.1 does not create an obligation on the part of the Company to make any such modification or take any other action, and the Company does not guaranty or accept any liability for any tax consequences to the Participants under the Plan.</w:t>
      </w:r>
    </w:p>
    <w:p>
      <w:pPr>
        <w:spacing w:after="0" w:line="18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Notwithstanding anything to the contrary in the Plan, if the Company determines at the time of a Participant’s Separation from Service that the Participant is a “specified employee” for purposes of Section 409A, then, to the extent delayed commencement of any portion of the benefits to which a Participant is entitled under the Plan is required to avoid a prohibited distribution under Section 409A(a)(2)(B)(i) of the Code, such portion of the Participant’s benefits shall not be provided to the Participant before the earlier of</w:t>
      </w:r>
    </w:p>
    <w:p>
      <w:pPr>
        <w:jc w:val="both"/>
        <w:ind w:firstLine="8"/>
        <w:spacing w:after="0" w:line="233" w:lineRule="auto"/>
        <w:tabs>
          <w:tab w:leader="none" w:pos="26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six (6)-month period measured from the date of the Participant’s Separation from Service with the Company or (ii) the date of the Participant’s death. On the first business day following the expiration of the applicable delay, all payments deferred pursuant to the preceding sentence shall be paid in a lump sum to the Participant (or the Participant’s estate or beneficiaries), and any remaining payments due to the Participant under the Plan shall be paid as otherwise provided herein.</w:t>
      </w:r>
    </w:p>
    <w:p>
      <w:pPr>
        <w:spacing w:after="0" w:line="17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Notwithstanding anything to the contrary in the Plan, any compensation or benefit payable under the Plan that constitutes “nonqualified deferred compensation” under Section 409A and is designated under the Plan as payable upon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6" w:name="page87"/>
    <w:bookmarkEnd w:id="86"/>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Participant’s termination of employment with the Company shall be payable only upon the Participant’s Separation from Service with the Company.</w:t>
      </w:r>
    </w:p>
    <w:p>
      <w:pPr>
        <w:spacing w:after="0" w:line="15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b w:val="1"/>
          <w:bCs w:val="1"/>
          <w:color w:val="auto"/>
        </w:rPr>
        <w:t>Expense Reimbursements</w:t>
      </w:r>
      <w:r>
        <w:rPr>
          <w:rFonts w:ascii="Times New Roman" w:cs="Times New Roman" w:eastAsia="Times New Roman" w:hAnsi="Times New Roman"/>
          <w:sz w:val="22"/>
          <w:szCs w:val="22"/>
          <w:color w:val="auto"/>
        </w:rPr>
        <w:t>. To the extent that any reimbursements payable under the Plan are subject to Section 409A, any such reimbursements shall be paid to the Participant no later than December 31 of the year following the year in which the expense was incurred. The amount of expenses reimbursed in one year shall not affect the amount eligible for reimbursement in any subsequent year, and a Participant’s right to reimbursement under the Plan will not be subject to liquidation or exchange for another benefit.</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22"/>
          <w:szCs w:val="22"/>
          <w:b w:val="1"/>
          <w:bCs w:val="1"/>
          <w:color w:val="auto"/>
        </w:rPr>
        <w:t>Installments</w:t>
      </w:r>
      <w:r>
        <w:rPr>
          <w:rFonts w:ascii="Times New Roman" w:cs="Times New Roman" w:eastAsia="Times New Roman" w:hAnsi="Times New Roman"/>
          <w:sz w:val="22"/>
          <w:szCs w:val="22"/>
          <w:color w:val="auto"/>
        </w:rPr>
        <w:t>. For purposes of applying the provisions of Section 409A to the Plan, each separately identified amount to which a Participant is entitled under the Plan shall be treated as a separate payment. In addition, to the extent permissible under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spacing w:after="0" w:line="17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Notwithstanding anything to the contrary in the Plan, to the extent that any payments due under the Plan as a result of a Participant’s Termination of Employment are subject to the Participant’s execution of the Release, (a) no such payments shall be made unless and until such Release has been so executed and has become effective and irrevocable, and (b) any payments delayed pursuant to Section 16.6(a) shall be paid in lump sum on the first payroll date following the Release becoming effective and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case where the Participant’s Termination of Employment and the Release Deadline fall in two (2) separate taxable years, any payments required to be made to the Participant that are conditioned on the Release and are treated as nonqualified deferred compensation for purposes of Section 409A shall be made in the later taxable year.</w:t>
      </w:r>
    </w:p>
    <w:p>
      <w:pPr>
        <w:spacing w:after="0" w:line="174"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rovisions</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color w:val="auto"/>
        </w:rPr>
        <w:t>Unfunded Obligation.</w:t>
      </w:r>
      <w:r>
        <w:rPr>
          <w:rFonts w:ascii="Times New Roman" w:cs="Times New Roman" w:eastAsia="Times New Roman" w:hAnsi="Times New Roman"/>
          <w:sz w:val="22"/>
          <w:szCs w:val="22"/>
          <w:color w:val="auto"/>
        </w:rPr>
        <w:t xml:space="preserve"> Any amounts payable to Participants pursuant to the Plan are unfunded obligations.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Administrator or the Company and a Participant, or otherwise create any vested or beneficial interest in any Participant or the Participant’s creditors in any assets of the Company.</w:t>
      </w:r>
    </w:p>
    <w:p>
      <w:pPr>
        <w:spacing w:after="0" w:line="17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color w:val="auto"/>
        </w:rPr>
        <w:t>No Duty to Mitigate; Obligations of Company.</w:t>
      </w:r>
      <w:r>
        <w:rPr>
          <w:rFonts w:ascii="Times New Roman" w:cs="Times New Roman" w:eastAsia="Times New Roman" w:hAnsi="Times New Roman"/>
          <w:sz w:val="22"/>
          <w:szCs w:val="22"/>
          <w:color w:val="auto"/>
        </w:rPr>
        <w:t xml:space="preserve"> A Participant shall not be required to mitigate the amount of any payment or benefit contemplated by this Plan by seeking employment with a new employer or otherwise, nor shall any such payment or benefit (except for benefits to the extent described in Sections 4.2(c) and 7.2) be reduced by any compensation or benefits that the Participant may receive from employment by another employer.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7" w:name="page88"/>
    <w:bookmarkEnd w:id="87"/>
    <w:p>
      <w:pPr>
        <w:jc w:val="both"/>
        <w:spacing w:after="0"/>
        <w:rPr>
          <w:sz w:val="20"/>
          <w:szCs w:val="20"/>
          <w:color w:val="auto"/>
        </w:rPr>
      </w:pPr>
      <w:r>
        <w:rPr>
          <w:rFonts w:ascii="Times New Roman" w:cs="Times New Roman" w:eastAsia="Times New Roman" w:hAnsi="Times New Roman"/>
          <w:sz w:val="22"/>
          <w:szCs w:val="22"/>
          <w:color w:val="auto"/>
        </w:rPr>
        <w:t>otherwise provided by this Plan, the obligations of the Company to make payments to the Participant and to make the arrangements provided for herein are absolute and unconditional and may not be reduced by any circumstances, including without limitation any set-off, counterclaim, recoupment, defense or other right which the Company may have against the Participant or any third party at any time.</w:t>
      </w:r>
    </w:p>
    <w:p>
      <w:pPr>
        <w:spacing w:after="0" w:line="17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b w:val="1"/>
          <w:bCs w:val="1"/>
          <w:color w:val="auto"/>
        </w:rPr>
        <w:t>No Representations.</w:t>
      </w:r>
      <w:r>
        <w:rPr>
          <w:rFonts w:ascii="Times New Roman" w:cs="Times New Roman" w:eastAsia="Times New Roman" w:hAnsi="Times New Roman"/>
          <w:sz w:val="22"/>
          <w:szCs w:val="22"/>
          <w:color w:val="auto"/>
        </w:rPr>
        <w:t xml:space="preserve"> The Participant acknowledges that in becoming a Participant in the Plan, the Participant is not relying and has not relied on any promise, representation or statement made by or on behalf of the Company which is not set forth in this Plan.</w:t>
      </w:r>
    </w:p>
    <w:p>
      <w:pPr>
        <w:spacing w:after="0" w:line="16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xml:space="preserve"> No waiver by the Participant or the Company of any breach of, or of any lack of compliance with, any condition or provision of this Plan or any Participation Letter by the other party shall be considered a waiver of any other condition or provision or of the same condition or provision at another time.</w:t>
      </w:r>
    </w:p>
    <w:p>
      <w:pPr>
        <w:spacing w:after="0" w:line="16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xml:space="preserve"> Except as provided in Section 9 above, the Plan is a welfare plan subject to ERISA and it shall be interpreted, administered, and enforced in accordance with that law. To the extent that state law is applicable the internal laws of the state of Delaware without regard to any conflict of laws provisions shall be controlling in all matters relating to this Plan.</w:t>
      </w:r>
    </w:p>
    <w:p>
      <w:pPr>
        <w:spacing w:after="0" w:line="17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 xml:space="preserve">17.6 </w:t>
      </w:r>
      <w:r>
        <w:rPr>
          <w:rFonts w:ascii="Times New Roman" w:cs="Times New Roman" w:eastAsia="Times New Roman" w:hAnsi="Times New Roman"/>
          <w:sz w:val="22"/>
          <w:szCs w:val="22"/>
          <w:b w:val="1"/>
          <w:bCs w:val="1"/>
          <w:color w:val="auto"/>
        </w:rPr>
        <w:t>Validity.</w:t>
      </w:r>
      <w:r>
        <w:rPr>
          <w:rFonts w:ascii="Times New Roman" w:cs="Times New Roman" w:eastAsia="Times New Roman" w:hAnsi="Times New Roman"/>
          <w:sz w:val="22"/>
          <w:szCs w:val="22"/>
          <w:color w:val="auto"/>
        </w:rPr>
        <w:t xml:space="preserve"> The invalidity or unenforceability of any provision of this Plan shall not affect the validity or enforceability of any other provision of this Plan, which shall remain in full force and effect.</w:t>
      </w:r>
    </w:p>
    <w:p>
      <w:pPr>
        <w:spacing w:after="0" w:line="150"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b w:val="1"/>
          <w:bCs w:val="1"/>
          <w:color w:val="auto"/>
        </w:rPr>
        <w:t>Benefits Not Assignable.</w:t>
      </w:r>
      <w:r>
        <w:rPr>
          <w:rFonts w:ascii="Times New Roman" w:cs="Times New Roman" w:eastAsia="Times New Roman" w:hAnsi="Times New Roman"/>
          <w:sz w:val="22"/>
          <w:szCs w:val="22"/>
          <w:color w:val="auto"/>
        </w:rPr>
        <w:t xml:space="preserve">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other manner, and no attempted transfer or assignment thereof shall be effective. No right or interest of any Participant under the Plan shall be liable for, or subject to, any obligation or liability of such Participant.</w:t>
      </w:r>
    </w:p>
    <w:p>
      <w:pPr>
        <w:spacing w:after="0" w:line="175"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 xml:space="preserve">17.8 </w:t>
      </w: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xml:space="preserve"> All payments made pursuant to this Plan will be subject to withholding of applicable income and employment taxes. Notwithstanding the foregoing, Benefits Continuation payments will not taxable if the medical plan is fully insured. However, whether cash severance amounts are eligible compensation under the Company’s benefit plans will be determined by the terms of such plans.</w:t>
      </w:r>
    </w:p>
    <w:p>
      <w:pPr>
        <w:spacing w:after="0" w:line="17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17.9 </w:t>
      </w:r>
      <w:r>
        <w:rPr>
          <w:rFonts w:ascii="Times New Roman" w:cs="Times New Roman" w:eastAsia="Times New Roman" w:hAnsi="Times New Roman"/>
          <w:sz w:val="22"/>
          <w:szCs w:val="22"/>
          <w:b w:val="1"/>
          <w:bCs w:val="1"/>
          <w:color w:val="auto"/>
        </w:rPr>
        <w:t>Information to be Furnished by Participants</w:t>
      </w:r>
      <w:r>
        <w:rPr>
          <w:rFonts w:ascii="Times New Roman" w:cs="Times New Roman" w:eastAsia="Times New Roman" w:hAnsi="Times New Roman"/>
          <w:sz w:val="22"/>
          <w:szCs w:val="22"/>
          <w:color w:val="auto"/>
        </w:rPr>
        <w:t>. Each Participant must furnish to the Company such documents, evidence, data or other information as the Company considers necessary or desirable for the purpose of administering this Plan. Benefits under this Plan for each Participant are provided on the condition that the Participant furnishes full, true and complete data, evidence or other information, and that the Participant will promptly sign any document related to the Plan, reasonably requested by the Company.</w:t>
      </w:r>
    </w:p>
    <w:p>
      <w:pPr>
        <w:sectPr>
          <w:pgSz w:w="11900" w:h="16838" w:orient="portrait"/>
          <w:cols w:equalWidth="0" w:num="1">
            <w:col w:w="9920"/>
          </w:cols>
          <w:pgMar w:left="980" w:top="111" w:right="999" w:bottom="1440" w:gutter="0" w:footer="0" w:header="0"/>
        </w:sectPr>
      </w:pPr>
    </w:p>
    <w:p>
      <w:pPr>
        <w:spacing w:after="0" w:line="17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17.10 </w:t>
      </w:r>
      <w:r>
        <w:rPr>
          <w:rFonts w:ascii="Times New Roman" w:cs="Times New Roman" w:eastAsia="Times New Roman" w:hAnsi="Times New Roman"/>
          <w:sz w:val="22"/>
          <w:szCs w:val="22"/>
          <w:b w:val="1"/>
          <w:bCs w:val="1"/>
          <w:color w:val="auto"/>
        </w:rPr>
        <w:t>Consultation with Legal and Financial Advisors.</w:t>
      </w:r>
      <w:r>
        <w:rPr>
          <w:rFonts w:ascii="Times New Roman" w:cs="Times New Roman" w:eastAsia="Times New Roman" w:hAnsi="Times New Roman"/>
          <w:sz w:val="22"/>
          <w:szCs w:val="22"/>
          <w:color w:val="auto"/>
        </w:rPr>
        <w:t xml:space="preserve"> Plan confers significant legal rights, and may also involve the waiver of Company has encouraged the Participant to consult with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firstLine="50"/>
        <w:spacing w:after="0" w:line="282" w:lineRule="auto"/>
        <w:rPr>
          <w:sz w:val="20"/>
          <w:szCs w:val="20"/>
          <w:color w:val="auto"/>
        </w:rPr>
      </w:pPr>
      <w:r>
        <w:rPr>
          <w:rFonts w:ascii="Times New Roman" w:cs="Times New Roman" w:eastAsia="Times New Roman" w:hAnsi="Times New Roman"/>
          <w:sz w:val="21"/>
          <w:szCs w:val="21"/>
          <w:color w:val="auto"/>
        </w:rPr>
        <w:t>The Participant acknowledges that this rights under other agreements; that the</w:t>
      </w:r>
    </w:p>
    <w:p>
      <w:pPr>
        <w:spacing w:after="0" w:line="406" w:lineRule="exact"/>
        <w:rPr>
          <w:sz w:val="20"/>
          <w:szCs w:val="20"/>
          <w:color w:val="auto"/>
        </w:rPr>
      </w:pPr>
    </w:p>
    <w:p>
      <w:pPr>
        <w:sectPr>
          <w:pgSz w:w="11900" w:h="16838" w:orient="portrait"/>
          <w:cols w:equalWidth="0" w:num="2">
            <w:col w:w="6440" w:space="60"/>
            <w:col w:w="3420"/>
          </w:cols>
          <w:pgMar w:left="980" w:top="11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type w:val="continuous"/>
        </w:sectPr>
      </w:pPr>
    </w:p>
    <w:bookmarkStart w:id="88" w:name="page89"/>
    <w:bookmarkEnd w:id="88"/>
    <w:p>
      <w:pPr>
        <w:spacing w:after="0" w:line="259" w:lineRule="auto"/>
        <w:rPr>
          <w:sz w:val="20"/>
          <w:szCs w:val="20"/>
          <w:color w:val="auto"/>
        </w:rPr>
      </w:pPr>
      <w:r>
        <w:rPr>
          <w:rFonts w:ascii="Times New Roman" w:cs="Times New Roman" w:eastAsia="Times New Roman" w:hAnsi="Times New Roman"/>
          <w:sz w:val="22"/>
          <w:szCs w:val="22"/>
          <w:color w:val="auto"/>
        </w:rPr>
        <w:t>the Participant’s personal legal and financial advisors; and that the Participant has had adequate time to consult with the Participant’s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9" w:name="page90"/>
    <w:bookmarkEnd w:id="89"/>
    <w:p>
      <w:pPr>
        <w:spacing w:after="0" w:line="216" w:lineRule="auto"/>
        <w:framePr w:w="5140" w:h="435" w:wrap="auto" w:vAnchor="page" w:hAnchor="page" w:x="4320" w:y="1811"/>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Legal process with respect to the Plan may be served upon the Administrator (in its capacity as Plan administrator).</w:t>
      </w:r>
    </w:p>
    <w:p>
      <w:pPr>
        <w:spacing w:after="0" w:line="216" w:lineRule="auto"/>
        <w:framePr w:w="1520" w:h="435" w:wrap="auto" w:vAnchor="page" w:hAnchor="page" w:x="4320" w:y="254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Counsel Yesway, Inc.</w:t>
      </w:r>
    </w:p>
    <w:p>
      <w:pPr>
        <w:spacing w:after="0" w:line="191" w:lineRule="auto"/>
        <w:framePr w:w="1860" w:h="192" w:wrap="auto" w:vAnchor="page" w:hAnchor="page" w:x="4320" w:y="3026"/>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2301 Eagle Parkway</w:t>
      </w:r>
    </w:p>
    <w:p>
      <w:pPr>
        <w:spacing w:after="0" w:line="191" w:lineRule="auto"/>
        <w:framePr w:w="2020" w:h="192" w:wrap="auto" w:vAnchor="page" w:hAnchor="page" w:x="4320" w:y="3269"/>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Fort Worth, TX 76177</w:t>
      </w:r>
    </w:p>
    <w:p>
      <w:pPr>
        <w:spacing w:after="0" w:line="182" w:lineRule="auto"/>
        <w:framePr w:w="300" w:h="192" w:wrap="auto" w:vAnchor="page" w:hAnchor="page" w:x="5800" w:y="4646"/>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w:t>
      </w:r>
    </w:p>
    <w:p>
      <w:pPr>
        <w:spacing w:after="0" w:line="206" w:lineRule="auto"/>
        <w:framePr w:w="4560" w:h="435" w:wrap="auto" w:vAnchor="page" w:hAnchor="page" w:x="4320" w:y="596"/>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of the Board of Directors Yesway, Inc.</w:t>
      </w:r>
    </w:p>
    <w:p>
      <w:pPr>
        <w:spacing w:after="0" w:line="191" w:lineRule="auto"/>
        <w:framePr w:w="1860" w:h="192" w:wrap="auto" w:vAnchor="page" w:hAnchor="page" w:x="4320" w:y="1082"/>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2301 Eagle Parkway</w:t>
      </w:r>
    </w:p>
    <w:p>
      <w:pPr>
        <w:spacing w:after="0" w:line="191" w:lineRule="auto"/>
        <w:framePr w:w="2020" w:h="192" w:wrap="auto" w:vAnchor="page" w:hAnchor="page" w:x="4320" w:y="1325"/>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Fort Worth, TX 76177</w:t>
      </w:r>
    </w:p>
    <w:p>
      <w:pPr>
        <w:ind w:left="540" w:right="2439" w:firstLine="1876"/>
        <w:spacing w:after="0" w:line="232"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CONTACTS FOR CLAIMS AND APPEALS </w:t>
      </w:r>
      <w:r>
        <w:rPr>
          <w:rFonts w:ascii="Times New Roman" w:cs="Times New Roman" w:eastAsia="Times New Roman" w:hAnsi="Times New Roman"/>
          <w:sz w:val="21"/>
          <w:szCs w:val="21"/>
          <w:b w:val="1"/>
          <w:bCs w:val="1"/>
          <w:color w:val="auto"/>
        </w:rPr>
        <w:t>ADMINISTRATOR: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8" w:lineRule="exact"/>
        <w:rPr>
          <w:rFonts w:ascii="Times New Roman" w:cs="Times New Roman" w:eastAsia="Times New Roman" w:hAnsi="Times New Roman"/>
          <w:sz w:val="21"/>
          <w:szCs w:val="21"/>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LEGAL PROCESS:</w:t>
      </w:r>
    </w:p>
    <w:p>
      <w:pPr>
        <w:spacing w:after="0" w:line="200" w:lineRule="exact"/>
        <w:rPr>
          <w:rFonts w:ascii="Times New Roman" w:cs="Times New Roman" w:eastAsia="Times New Roman" w:hAnsi="Times New Roman"/>
          <w:sz w:val="21"/>
          <w:szCs w:val="21"/>
          <w:color w:val="auto"/>
        </w:rPr>
      </w:pPr>
    </w:p>
    <w:p>
      <w:pPr>
        <w:spacing w:after="0" w:line="276" w:lineRule="exact"/>
        <w:rPr>
          <w:rFonts w:ascii="Times New Roman" w:cs="Times New Roman" w:eastAsia="Times New Roman" w:hAnsi="Times New Roman"/>
          <w:sz w:val="21"/>
          <w:szCs w:val="21"/>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GENERAL COUNSEL:</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-285750</wp:posOffset>
            </wp:positionH>
            <wp:positionV relativeFrom="paragraph">
              <wp:posOffset>1693545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0" w:name="page91"/>
    <w:bookmarkEnd w:id="90"/>
    <w:p>
      <w:pPr>
        <w:ind w:left="430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Whenever used in this Plan, the following terms shall have the meanings set forth below:</w:t>
      </w:r>
    </w:p>
    <w:p>
      <w:pPr>
        <w:spacing w:after="0" w:line="200" w:lineRule="exact"/>
        <w:rPr>
          <w:sz w:val="20"/>
          <w:szCs w:val="20"/>
          <w:color w:val="auto"/>
        </w:rPr>
      </w:pPr>
    </w:p>
    <w:p>
      <w:pPr>
        <w:jc w:val="both"/>
        <w:ind w:firstLine="656"/>
        <w:spacing w:after="0" w:line="241" w:lineRule="auto"/>
        <w:tabs>
          <w:tab w:leader="none" w:pos="12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(a) if the Company or applicable member of the Company Group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a Publicly Listed Company, the Board of Managers of BW Gas &amp; Convenience Holdings, LLC or its authorized designee, or (b) if the Company or applicable member of the Company Group is a Publicly Listed Company, the Compensation Committee of the Board of Directors or its authorized designee.</w:t>
      </w:r>
    </w:p>
    <w:p>
      <w:pPr>
        <w:spacing w:after="0" w:line="171" w:lineRule="exact"/>
        <w:rPr>
          <w:rFonts w:ascii="Times New Roman" w:cs="Times New Roman" w:eastAsia="Times New Roman" w:hAnsi="Times New Roman"/>
          <w:sz w:val="22"/>
          <w:szCs w:val="22"/>
          <w:color w:val="auto"/>
        </w:rPr>
      </w:pPr>
    </w:p>
    <w:p>
      <w:pPr>
        <w:ind w:right="20" w:firstLine="656"/>
        <w:spacing w:after="0" w:line="264" w:lineRule="auto"/>
        <w:tabs>
          <w:tab w:leader="none" w:pos="12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Base Salary 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Participant’s annual base salary rate in effect immediately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Participant’s Termination of Employment.</w:t>
      </w:r>
    </w:p>
    <w:p>
      <w:pPr>
        <w:spacing w:after="0" w:line="1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 of Directors</w:t>
      </w:r>
      <w:r>
        <w:rPr>
          <w:rFonts w:ascii="Times New Roman" w:cs="Times New Roman" w:eastAsia="Times New Roman" w:hAnsi="Times New Roman"/>
          <w:sz w:val="22"/>
          <w:szCs w:val="22"/>
          <w:color w:val="auto"/>
        </w:rPr>
        <w:t>” means the Board of Directors of Yesway, Inc.</w:t>
      </w:r>
    </w:p>
    <w:p>
      <w:pPr>
        <w:spacing w:after="0" w:line="20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respect to a Participant, means one or more of the following: (A) conviction of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felony involving fraud or dishonesty; or (B) the perpetration of any willful act of fraud against or affecting the Company in the course of Participant’s employment with the Company that has a material adverse effect on the Company. Notwithstanding the foregoing, the Participant’s termination will not be deemed to be for Cause unless</w:t>
      </w:r>
    </w:p>
    <w:p>
      <w:pPr>
        <w:spacing w:after="0" w:line="3" w:lineRule="exact"/>
        <w:rPr>
          <w:rFonts w:ascii="Times New Roman" w:cs="Times New Roman" w:eastAsia="Times New Roman" w:hAnsi="Times New Roman"/>
          <w:sz w:val="21"/>
          <w:szCs w:val="21"/>
          <w:color w:val="auto"/>
        </w:rPr>
      </w:pPr>
    </w:p>
    <w:p>
      <w:pPr>
        <w:jc w:val="both"/>
        <w:ind w:firstLine="8"/>
        <w:spacing w:after="0" w:line="244" w:lineRule="auto"/>
        <w:tabs>
          <w:tab w:leader="none" w:pos="34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provides the Participant with written notice setting forth in reasonable detail the facts and circumstances claimed by the Company to constitute Cause within thirty (30) days after the date of the occurrence of any event that the Company knows or should reasonably have known to constitute Cause and the Company provides Participant with the reasonable opportunity to be heard before the Board of Directors (with Participant’s counsel present) and (2) the Participant fails to cure such acts or omissions within thirty (30) days following his or her receipt of such notice (or ten (10) days following Participant’s hearing before the Board of Directors, if later).</w:t>
      </w:r>
    </w:p>
    <w:p>
      <w:pPr>
        <w:spacing w:after="0" w:line="170" w:lineRule="exact"/>
        <w:rPr>
          <w:rFonts w:ascii="Times New Roman" w:cs="Times New Roman" w:eastAsia="Times New Roman" w:hAnsi="Times New Roman"/>
          <w:sz w:val="21"/>
          <w:szCs w:val="21"/>
          <w:color w:val="auto"/>
        </w:rPr>
      </w:pPr>
    </w:p>
    <w:p>
      <w:pPr>
        <w:ind w:firstLine="656"/>
        <w:spacing w:after="0" w:line="264" w:lineRule="auto"/>
        <w:tabs>
          <w:tab w:leader="none" w:pos="129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meaning ascribed to such term in the Yesway, Inc. 2026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Incentive Award Plan, as may be amended or restated from time to time.</w:t>
      </w:r>
    </w:p>
    <w:p>
      <w:pPr>
        <w:spacing w:after="0" w:line="145"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Consolidated Omnibus Budget Reconciliation Act of 1985, as amended,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regulations promulgated thereunder.</w:t>
      </w:r>
    </w:p>
    <w:p>
      <w:pPr>
        <w:spacing w:after="0" w:line="145"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Internal Revenue Code of 1986, as amended, or any successor thereto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regulations (including proposed or temporary regulations) and other Internal Revenue Service guidance promulgated thereunder.</w:t>
      </w:r>
    </w:p>
    <w:p>
      <w:pPr>
        <w:spacing w:after="0" w:line="163"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Yesway, Inc., a Delaware corporation, or a Successor that agrees to assume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terms and provisions of this Plan or which otherwise becomes bound by operation of law to this Plan.</w:t>
      </w:r>
    </w:p>
    <w:p>
      <w:pPr>
        <w:spacing w:after="0" w:line="145" w:lineRule="exact"/>
        <w:rPr>
          <w:rFonts w:ascii="Times New Roman" w:cs="Times New Roman" w:eastAsia="Times New Roman" w:hAnsi="Times New Roman"/>
          <w:sz w:val="22"/>
          <w:szCs w:val="22"/>
          <w:color w:val="auto"/>
        </w:rPr>
      </w:pPr>
    </w:p>
    <w:p>
      <w:pPr>
        <w:ind w:right="20" w:firstLine="656"/>
        <w:spacing w:after="0" w:line="264" w:lineRule="auto"/>
        <w:tabs>
          <w:tab w:leader="none" w:pos="129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group consisting of the Company and each present or future parent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subsidiary corporation, other business entity or affiliate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1" w:name="page92"/>
    <w:bookmarkEnd w:id="91"/>
    <w:p>
      <w:pPr>
        <w:jc w:val="both"/>
        <w:ind w:firstLine="656"/>
        <w:spacing w:after="0" w:line="238" w:lineRule="auto"/>
        <w:tabs>
          <w:tab w:leader="none" w:pos="129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Competing Business</w:t>
      </w:r>
      <w:r>
        <w:rPr>
          <w:rFonts w:ascii="Times New Roman" w:cs="Times New Roman" w:eastAsia="Times New Roman" w:hAnsi="Times New Roman"/>
          <w:sz w:val="22"/>
          <w:szCs w:val="22"/>
          <w:color w:val="auto"/>
        </w:rPr>
        <w:t>” means any business or part thereof that competes with or could reasonably compete with any business of the Company or other Company Group entity which is being conducted or which the Company or other Company Group entity has material plans to conduct as of the Participant’s Termination of Employment, excluding any businesses in which the Participant had no duties or responsibilities and about which the Participant acquired no information during the Participant’s employment.</w:t>
      </w:r>
    </w:p>
    <w:p>
      <w:pPr>
        <w:spacing w:after="0" w:line="175"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that the Participant has become entitled to receive benefits under an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long-term disability plan or, if no such plan covers the Participant, that the Administrator has made a good faith determination that the Participant has become physically or mentally incapacitated or disabled such that the Participant is unable to perform for the Company substantially the same services as the Participant performed prior to incurring such incapacity or disability, and such incapacity or disability exists for an aggregate of four</w:t>
      </w:r>
    </w:p>
    <w:p>
      <w:pPr>
        <w:spacing w:after="0" w:line="2" w:lineRule="exact"/>
        <w:rPr>
          <w:rFonts w:ascii="Times New Roman" w:cs="Times New Roman" w:eastAsia="Times New Roman" w:hAnsi="Times New Roman"/>
          <w:sz w:val="21"/>
          <w:szCs w:val="21"/>
          <w:color w:val="auto"/>
        </w:rPr>
      </w:pPr>
    </w:p>
    <w:p>
      <w:pPr>
        <w:jc w:val="both"/>
        <w:ind w:firstLine="8"/>
        <w:spacing w:after="0" w:line="234" w:lineRule="auto"/>
        <w:tabs>
          <w:tab w:leader="none" w:pos="36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months in any twelve (12) month period. In connection with making such determination, the Company, at its option and expense, shall be entitled to select and retain a physician to confirm the existence of such incapacity or disability, and the determination made by such physician shall be binding on the parties for the purposes of this Plan.</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rFonts w:ascii="Times New Roman" w:cs="Times New Roman" w:eastAsia="Times New Roman" w:hAnsi="Times New Roman"/>
          <w:sz w:val="22"/>
          <w:szCs w:val="22"/>
          <w:color w:val="auto"/>
        </w:rPr>
      </w:pPr>
    </w:p>
    <w:p>
      <w:pPr>
        <w:jc w:val="both"/>
        <w:ind w:right="20" w:firstLine="656"/>
        <w:spacing w:after="0" w:line="247" w:lineRule="auto"/>
        <w:tabs>
          <w:tab w:leader="none" w:pos="129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occurrence of any of the following conditions without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consent unless the Company fully corrects the circumstances constituting Good Reason on or prior to the applicable cure period noted below:</w:t>
      </w:r>
    </w:p>
    <w:p>
      <w:pPr>
        <w:spacing w:after="0" w:line="169"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diminution in the Participant’s position, authority, title, duties or responsibilities (including any Board of Directors or similar management entity position), or the assignment to Participant of duties materially inconsistent with his or her position; or</w:t>
      </w:r>
    </w:p>
    <w:p>
      <w:pPr>
        <w:spacing w:after="0" w:line="173"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Participant’s base salary or annual or long term incentive compensation opportunities, as the same may be increased from time to time; or</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change in the geographic location of the Participant’s principal location as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 hereof; or</w:t>
      </w:r>
    </w:p>
    <w:p>
      <w:pPr>
        <w:spacing w:after="0" w:line="182" w:lineRule="exact"/>
        <w:rPr>
          <w:rFonts w:ascii="Times New Roman" w:cs="Times New Roman" w:eastAsia="Times New Roman" w:hAnsi="Times New Roman"/>
          <w:sz w:val="21"/>
          <w:szCs w:val="21"/>
          <w:color w:val="auto"/>
        </w:rPr>
      </w:pPr>
    </w:p>
    <w:p>
      <w:pPr>
        <w:jc w:val="both"/>
        <w:ind w:firstLine="1304"/>
        <w:spacing w:after="0" w:line="244" w:lineRule="auto"/>
        <w:tabs>
          <w:tab w:leader="none" w:pos="1944"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Plan (or any other agreement between the Company and the Participant) by the Company, including without limitation failure to pay any compensation or benefits when due or a failure of the Company to comply with Section 13.1 or Section 13.2 of the Plan.</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Notwithstanding the foregoing, the Participant will not be deemed to have resigned for Good Reason unless (1) the Participant provides the Company with written notice setting forth in reasonable detail the facts and circumstances claimed by the Participant to constitute Good Reason within thirty (30) days after the date the Participant has actual notice of the occurrence of any event that the Participant knows to constitute Good Reason,</w:t>
      </w:r>
    </w:p>
    <w:p>
      <w:pPr>
        <w:spacing w:after="0" w:line="2" w:lineRule="exact"/>
        <w:rPr>
          <w:sz w:val="20"/>
          <w:szCs w:val="20"/>
          <w:color w:val="auto"/>
        </w:rPr>
      </w:pPr>
    </w:p>
    <w:p>
      <w:pPr>
        <w:jc w:val="both"/>
        <w:ind w:firstLine="8"/>
        <w:spacing w:after="0" w:line="235" w:lineRule="auto"/>
        <w:tabs>
          <w:tab w:leader="none" w:pos="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fails to cure such acts or omissions within thirty (30) days following its receipt of such notice, and (3) the effective date of the Participant’s termination for Good Reason occurs no later than thirty (30) days after the expiration of the Company’s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2" w:name="page93"/>
    <w:bookmarkEnd w:id="92"/>
    <w:p>
      <w:pPr>
        <w:ind w:firstLine="656"/>
        <w:spacing w:after="0" w:line="262"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each individual who is listed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has entered into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 Letter with the Company.</w:t>
      </w:r>
    </w:p>
    <w:p>
      <w:pPr>
        <w:spacing w:after="0" w:line="148"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Participation Letter</w:t>
      </w:r>
      <w:r>
        <w:rPr>
          <w:rFonts w:ascii="Times New Roman" w:cs="Times New Roman" w:eastAsia="Times New Roman" w:hAnsi="Times New Roman"/>
          <w:sz w:val="22"/>
          <w:szCs w:val="22"/>
          <w:color w:val="auto"/>
        </w:rPr>
        <w:t xml:space="preserve">” means a letter delivered to a Participant acknowledging his or her participation in the Plan, in substantially the form attached hereto as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xml:space="preserve"> (together with any changes approved by the Administrator), executed and delivered by the Company and a Participant.</w:t>
      </w:r>
    </w:p>
    <w:p>
      <w:pPr>
        <w:spacing w:after="0" w:line="163" w:lineRule="exact"/>
        <w:rPr>
          <w:rFonts w:ascii="Times New Roman" w:cs="Times New Roman" w:eastAsia="Times New Roman" w:hAnsi="Times New Roman"/>
          <w:sz w:val="22"/>
          <w:szCs w:val="22"/>
          <w:color w:val="auto"/>
        </w:rPr>
      </w:pPr>
    </w:p>
    <w:p>
      <w:pPr>
        <w:jc w:val="both"/>
        <w:ind w:firstLine="656"/>
        <w:spacing w:after="0" w:line="241"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Publicly Listed Company</w:t>
      </w:r>
      <w:r>
        <w:rPr>
          <w:rFonts w:ascii="Times New Roman" w:cs="Times New Roman" w:eastAsia="Times New Roman" w:hAnsi="Times New Roman"/>
          <w:sz w:val="22"/>
          <w:szCs w:val="22"/>
          <w:color w:val="auto"/>
        </w:rPr>
        <w:t>” means that the Company or its Successor (i) is required to file periodic reports pursuant to Section 12 of the Exchange Act and (ii) the shares of common stock (or other securities of the Company) are listed on one or more national securities exchanges (within the meaning of the Exchange Act) or a successor quotation system.</w:t>
      </w:r>
    </w:p>
    <w:p>
      <w:pPr>
        <w:spacing w:after="0" w:line="171"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general release of all known and unknown claims against the Company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its affiliates and their equityholders, directors, officers, employees, agents, successors and assigns in the Company’s then-applicable form, which for the avoidance of doubt will require continued compliance with any restrictive covenants to which the applicable Participant was subject as of his or her Termination of Employment, and which will include a one-year non-competition covenant.</w:t>
      </w:r>
    </w:p>
    <w:p>
      <w:pPr>
        <w:spacing w:after="0" w:line="171"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 Deadline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date which is twenty-one (21) days following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Employment (or forty-five (45) days if necessary to comply with applicable law).</w:t>
      </w:r>
    </w:p>
    <w:p>
      <w:pPr>
        <w:spacing w:after="0" w:line="1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Section 409A of the Code and the Treasury Regulations promulgated</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“separation from service” as defined in Section 409A.</w:t>
      </w:r>
    </w:p>
    <w:p>
      <w:pPr>
        <w:spacing w:after="0" w:line="206"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Severance Multiplier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with respect to any Participant, the applicable Severance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Multiplier set forth on </w:t>
      </w:r>
      <w:r>
        <w:rPr>
          <w:rFonts w:ascii="Times New Roman" w:cs="Times New Roman" w:eastAsia="Times New Roman" w:hAnsi="Times New Roman"/>
          <w:sz w:val="22"/>
          <w:szCs w:val="22"/>
          <w:u w:val="single" w:color="auto"/>
          <w:color w:val="auto"/>
        </w:rPr>
        <w:t>Appendix B.</w:t>
      </w:r>
    </w:p>
    <w:p>
      <w:pPr>
        <w:spacing w:after="0" w:line="145"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Severance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with respect to any Participant, the sum of (x) the Participant’s Base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Salary Rate, (y) the Participant’s target annual bonus for the year in which such Participant’s Termination of Employment occurs, which shall be reduced by any Garden Leave Payments to which the Participant is eligible and any pay or notice provided under the U.S. Worker Adjustment and Retraining Notification Act and similar state law and (z) the target grant date value of the Participant’s annual equity award for the year in which such Participant’s Termination of Employment occurs, in each case as set forth on </w:t>
      </w:r>
      <w:r>
        <w:rPr>
          <w:rFonts w:ascii="Times New Roman" w:cs="Times New Roman" w:eastAsia="Times New Roman" w:hAnsi="Times New Roman"/>
          <w:sz w:val="22"/>
          <w:szCs w:val="22"/>
          <w:u w:val="single" w:color="auto"/>
          <w:color w:val="auto"/>
        </w:rPr>
        <w:t>Appendix D</w:t>
      </w:r>
      <w:r>
        <w:rPr>
          <w:rFonts w:ascii="Times New Roman" w:cs="Times New Roman" w:eastAsia="Times New Roman" w:hAnsi="Times New Roman"/>
          <w:sz w:val="22"/>
          <w:szCs w:val="22"/>
          <w:color w:val="auto"/>
        </w:rPr>
        <w:t xml:space="preserve"> as of the date hereof and in each case which may be subject to increase (but not decrease) from time to time.</w:t>
      </w:r>
    </w:p>
    <w:p>
      <w:pPr>
        <w:spacing w:after="0" w:line="175" w:lineRule="exact"/>
        <w:rPr>
          <w:rFonts w:ascii="Times New Roman" w:cs="Times New Roman" w:eastAsia="Times New Roman" w:hAnsi="Times New Roman"/>
          <w:sz w:val="22"/>
          <w:szCs w:val="22"/>
          <w:color w:val="auto"/>
        </w:rPr>
      </w:pPr>
    </w:p>
    <w:p>
      <w:pPr>
        <w:jc w:val="both"/>
        <w:ind w:right="20" w:firstLine="656"/>
        <w:spacing w:after="0" w:line="239"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with respect to any Participant, commence upon such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Employment and end after a period of years (or partial years, if applicable) equal to the Participant’s Severance Multiplier; provided that, the Participant’s Severance Period shall not exceed (A) if such Participant is the Company’s Chief Executive Officer, thirty-six (36) months and (B) with respect to any other Participant, eighteen (18)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3" w:name="page94"/>
    <w:bookmarkEnd w:id="93"/>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specified employee of the Company as defined in Section 409A.</w:t>
      </w:r>
    </w:p>
    <w:p>
      <w:pPr>
        <w:spacing w:after="0" w:line="20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Successor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any successor in interest to substantially all of the business and/or assets of the</w:t>
      </w:r>
    </w:p>
    <w:p>
      <w:pPr>
        <w:spacing w:after="0" w:line="3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176" w:lineRule="exact"/>
        <w:rPr>
          <w:rFonts w:ascii="Times New Roman" w:cs="Times New Roman" w:eastAsia="Times New Roman" w:hAnsi="Times New Roman"/>
          <w:sz w:val="21"/>
          <w:szCs w:val="21"/>
          <w:color w:val="auto"/>
        </w:rPr>
      </w:pPr>
    </w:p>
    <w:p>
      <w:pPr>
        <w:jc w:val="both"/>
        <w:ind w:firstLine="656"/>
        <w:spacing w:after="0" w:line="239" w:lineRule="auto"/>
        <w:tabs>
          <w:tab w:leader="none" w:pos="12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of Employment</w:t>
      </w:r>
      <w:r>
        <w:rPr>
          <w:rFonts w:ascii="Times New Roman" w:cs="Times New Roman" w:eastAsia="Times New Roman" w:hAnsi="Times New Roman"/>
          <w:sz w:val="22"/>
          <w:szCs w:val="22"/>
          <w:color w:val="auto"/>
        </w:rPr>
        <w:t>” means the termination of the applicable Participant’s employment with, or performance of services for, the Company Group. For the avoidance of doubt, neither the transfer of employment from one Company Group entity to another without cessation of employment and the reclassification of a Participant from an employee to an independent contractor of the Company Group shall not constitute a Termination of Employment.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N. Trkla, certify that:</w:t>
      </w:r>
    </w:p>
    <w:p>
      <w:pPr>
        <w:spacing w:after="0" w:line="225"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Yesway,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 /s/ Thomas N. Trkla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34290</wp:posOffset>
            </wp:positionV>
            <wp:extent cx="30518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Thomas N. Trkla</w:t>
      </w:r>
    </w:p>
    <w:p>
      <w:pPr>
        <w:spacing w:after="0" w:line="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515620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Ericka L. Ayles, certify that:</w:t>
      </w:r>
    </w:p>
    <w:p>
      <w:pPr>
        <w:spacing w:after="0" w:line="225"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Yesway,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7"/>
          <w:szCs w:val="17"/>
          <w:color w:val="auto"/>
        </w:rPr>
        <w:t>By: /s/ Ericka L. Ayles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34290</wp:posOffset>
            </wp:positionV>
            <wp:extent cx="30518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Ericka L. Ayles</w:t>
      </w:r>
    </w:p>
    <w:p>
      <w:pPr>
        <w:spacing w:after="0" w:line="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515620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Yesway, Inc. (the “Company”) for the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right="580" w:firstLine="656"/>
        <w:spacing w:after="0" w:line="282" w:lineRule="auto"/>
        <w:tabs>
          <w:tab w:leader="none" w:pos="90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600" w:firstLine="656"/>
        <w:spacing w:after="0" w:line="282" w:lineRule="auto"/>
        <w:tabs>
          <w:tab w:leader="none" w:pos="90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 /s/ Thomas N. Trkla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34290</wp:posOffset>
            </wp:positionV>
            <wp:extent cx="30175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1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Thomas N. Trkla</w:t>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6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515620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Yesway, Inc. (the “Company”) for the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right="580" w:firstLine="656"/>
        <w:spacing w:after="0" w:line="282" w:lineRule="auto"/>
        <w:tabs>
          <w:tab w:leader="none" w:pos="9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600" w:firstLine="656"/>
        <w:spacing w:after="0" w:line="282" w:lineRule="auto"/>
        <w:tabs>
          <w:tab w:leader="none" w:pos="9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7"/>
          <w:szCs w:val="17"/>
          <w:color w:val="auto"/>
        </w:rPr>
        <w:t>By: /s/ Ericka L. Ayles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34290</wp:posOffset>
            </wp:positionV>
            <wp:extent cx="30600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Ericka L. Ayles</w:t>
      </w:r>
    </w:p>
    <w:p>
      <w:pPr>
        <w:spacing w:after="0" w:line="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515620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lowerRoman"/>
      <w:start w:val="2"/>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2"/>
    </w:lvl>
  </w:abstractNum>
  <w:abstractNum w:abstractNumId="7">
    <w:nsid w:val="2CD89A32"/>
    <w:multiLevelType w:val="hybridMultilevel"/>
    <w:lvl w:ilvl="0">
      <w:lvlJc w:val="left"/>
      <w:lvlText w:val="%1."/>
      <w:numFmt w:val="decimal"/>
      <w:start w:val="3"/>
    </w:lvl>
  </w:abstractNum>
  <w:abstractNum w:abstractNumId="8">
    <w:nsid w:val="57E4CCAF"/>
    <w:multiLevelType w:val="hybridMultilevel"/>
    <w:lvl w:ilvl="0">
      <w:lvlJc w:val="left"/>
      <w:lvlText w:val="%1."/>
      <w:numFmt w:val="decimal"/>
      <w:start w:val="4"/>
    </w:lvl>
  </w:abstractNum>
  <w:abstractNum w:abstractNumId="9">
    <w:nsid w:val="7A6D8D3C"/>
    <w:multiLevelType w:val="hybridMultilevel"/>
    <w:lvl w:ilvl="0">
      <w:lvlJc w:val="left"/>
      <w:lvlText w:val="%1."/>
      <w:numFmt w:val="decimal"/>
      <w:start w:val="5"/>
    </w:lvl>
  </w:abstractNum>
  <w:abstractNum w:abstractNumId="10">
    <w:nsid w:val="4B588F54"/>
    <w:multiLevelType w:val="hybridMultilevel"/>
    <w:lvl w:ilvl="0">
      <w:lvlJc w:val="left"/>
      <w:lvlText w:val="%1."/>
      <w:numFmt w:val="decimal"/>
      <w:start w:val="6"/>
    </w:lvl>
  </w:abstractNum>
  <w:abstractNum w:abstractNumId="11">
    <w:nsid w:val="542289EC"/>
    <w:multiLevelType w:val="hybridMultilevel"/>
    <w:lvl w:ilvl="0">
      <w:lvlJc w:val="left"/>
      <w:lvlText w:val="%1."/>
      <w:numFmt w:val="decimal"/>
      <w:start w:val="7"/>
    </w:lvl>
  </w:abstractNum>
  <w:abstractNum w:abstractNumId="12">
    <w:nsid w:val="6DE91B18"/>
    <w:multiLevelType w:val="hybridMultilevel"/>
    <w:lvl w:ilvl="0">
      <w:lvlJc w:val="left"/>
      <w:lvlText w:val="%1."/>
      <w:numFmt w:val="decimal"/>
      <w:start w:val="8"/>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3"/>
    </w:lvl>
  </w:abstractNum>
  <w:abstractNum w:abstractNumId="15">
    <w:nsid w:val="32FFF902"/>
    <w:multiLevelType w:val="hybridMultilevel"/>
    <w:lvl w:ilvl="0">
      <w:lvlJc w:val="left"/>
      <w:lvlText w:val="(%1)"/>
      <w:numFmt w:val="decimal"/>
      <w:start w:val="5"/>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2"/>
    </w:lvl>
  </w:abstractNum>
  <w:abstractNum w:abstractNumId="18">
    <w:nsid w:val="749ABB43"/>
    <w:multiLevelType w:val="hybridMultilevel"/>
    <w:lvl w:ilvl="0">
      <w:lvlJc w:val="left"/>
      <w:lvlText w:val="(%1)"/>
      <w:numFmt w:val="lowerRoman"/>
      <w:start w:val="3"/>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decimal"/>
      <w:start w:val="3"/>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decimal"/>
      <w:start w:val="4"/>
    </w:lvl>
  </w:abstractNum>
  <w:abstractNum w:abstractNumId="23">
    <w:nsid w:val="12E685FB"/>
    <w:multiLevelType w:val="hybridMultilevel"/>
    <w:lvl w:ilvl="0">
      <w:lvlJc w:val="left"/>
      <w:lvlText w:val="%1."/>
      <w:numFmt w:val="decimal"/>
      <w:start w:val="5"/>
    </w:lvl>
  </w:abstractNum>
  <w:abstractNum w:abstractNumId="24">
    <w:nsid w:val="70C6A529"/>
    <w:multiLevelType w:val="hybridMultilevel"/>
    <w:lvl w:ilvl="0">
      <w:lvlJc w:val="left"/>
      <w:lvlText w:val="%1."/>
      <w:numFmt w:val="decimal"/>
      <w:start w:val="6"/>
    </w:lvl>
  </w:abstractNum>
  <w:abstractNum w:abstractNumId="25">
    <w:nsid w:val="520EEDD1"/>
    <w:multiLevelType w:val="hybridMultilevel"/>
    <w:lvl w:ilvl="0">
      <w:lvlJc w:val="left"/>
      <w:lvlText w:val="%1."/>
      <w:numFmt w:val="decimal"/>
      <w:start w:val="7"/>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9"/>
    </w:lvl>
  </w:abstractNum>
  <w:abstractNum w:abstractNumId="30">
    <w:nsid w:val="275AC794"/>
    <w:multiLevelType w:val="hybridMultilevel"/>
    <w:lvl w:ilvl="0">
      <w:lvlJc w:val="left"/>
      <w:lvlText w:val="(%1)"/>
      <w:numFmt w:val="decimal"/>
      <w:start w:val="4"/>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lvl w:ilvl="1">
      <w:lvlJc w:val="left"/>
      <w:lvlText w:val="(%2)"/>
      <w:numFmt w:val="decimal"/>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lowerLetter"/>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
    <w:nsid w:val="77AE35EB"/>
    <w:multiLevelType w:val="hybridMultilevel"/>
    <w:lvl w:ilvl="0">
      <w:lvlJc w:val="left"/>
      <w:lvlText w:val="%1."/>
      <w:numFmt w:val="decimal"/>
      <w:start w:val="2"/>
    </w:lvl>
    <w:lvl w:ilvl="1">
      <w:lvlJc w:val="left"/>
      <w:lvlText w:val="(%2)"/>
      <w:numFmt w:val="lowerLetter"/>
      <w:start w:val="1"/>
    </w:lvl>
  </w:abstractNum>
  <w:abstractNum w:abstractNumId="45">
    <w:nsid w:val="579BE4F1"/>
    <w:multiLevelType w:val="hybridMultilevel"/>
    <w:lvl w:ilvl="0">
      <w:lvlJc w:val="left"/>
      <w:lvlText w:val="(%1)"/>
      <w:numFmt w:val="lowerLetter"/>
      <w:start w:val="4"/>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2"/>
    </w:lvl>
  </w:abstractNum>
  <w:abstractNum w:abstractNumId="48">
    <w:nsid w:val="2F305DEF"/>
    <w:multiLevelType w:val="hybridMultilevel"/>
    <w:lvl w:ilvl="0">
      <w:lvlJc w:val="left"/>
      <w:lvlText w:val="%1."/>
      <w:numFmt w:val="decimal"/>
      <w:start w:val="3"/>
    </w:lvl>
  </w:abstractNum>
  <w:abstractNum w:abstractNumId="49">
    <w:nsid w:val="25A70BF7"/>
    <w:multiLevelType w:val="hybridMultilevel"/>
    <w:lvl w:ilvl="0">
      <w:lvlJc w:val="left"/>
      <w:lvlText w:val="%1."/>
      <w:numFmt w:val="decimal"/>
      <w:start w:val="4"/>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decimal"/>
      <w:start w:val="5"/>
    </w:lvl>
  </w:abstractNum>
  <w:abstractNum w:abstractNumId="52">
    <w:nsid w:val="1F48EAA1"/>
    <w:multiLevelType w:val="hybridMultilevel"/>
    <w:lvl w:ilvl="0">
      <w:lvlJc w:val="left"/>
      <w:lvlText w:val="%1."/>
      <w:numFmt w:val="decimal"/>
      <w:start w:val="6"/>
    </w:lvl>
  </w:abstractNum>
  <w:abstractNum w:abstractNumId="53">
    <w:nsid w:val="1381823A"/>
    <w:multiLevelType w:val="hybridMultilevel"/>
    <w:lvl w:ilvl="0">
      <w:lvlJc w:val="left"/>
      <w:lvlText w:val="%1."/>
      <w:numFmt w:val="decimal"/>
      <w:start w:val="7"/>
    </w:lvl>
  </w:abstractNum>
  <w:abstractNum w:abstractNumId="54">
    <w:nsid w:val="5DB70AE5"/>
    <w:multiLevelType w:val="hybridMultilevel"/>
    <w:lvl w:ilvl="0">
      <w:lvlJc w:val="left"/>
      <w:lvlText w:val="%1."/>
      <w:numFmt w:val="decimal"/>
      <w:start w:val="8"/>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2"/>
    </w:lvl>
  </w:abstractNum>
  <w:abstractNum w:abstractNumId="57">
    <w:nsid w:val="15014ACB"/>
    <w:multiLevelType w:val="hybridMultilevel"/>
    <w:lvl w:ilvl="0">
      <w:lvlJc w:val="left"/>
      <w:lvlText w:val="%1."/>
      <w:numFmt w:val="decimal"/>
      <w:start w:val="11"/>
    </w:lvl>
  </w:abstractNum>
  <w:abstractNum w:abstractNumId="58">
    <w:nsid w:val="5F5E7FD0"/>
    <w:multiLevelType w:val="hybridMultilevel"/>
    <w:lvl w:ilvl="0">
      <w:lvlJc w:val="left"/>
      <w:lvlText w:val="(%1)"/>
      <w:numFmt w:val="lowerLetter"/>
      <w:start w:val="1"/>
    </w:lvl>
    <w:lvl w:ilvl="1">
      <w:lvlJc w:val="left"/>
      <w:lvlText w:val="(%2)"/>
      <w:numFmt w:val="decimal"/>
      <w:start w:val="1"/>
    </w:lvl>
  </w:abstractNum>
  <w:abstractNum w:abstractNumId="59">
    <w:nsid w:val="98A3148"/>
    <w:multiLevelType w:val="hybridMultilevel"/>
    <w:lvl w:ilvl="0">
      <w:lvlJc w:val="left"/>
      <w:lvlText w:val="%1"/>
      <w:numFmt w:val="lowerLetter"/>
      <w:start w:val="1"/>
    </w:lvl>
    <w:lvl w:ilvl="1">
      <w:lvlJc w:val="left"/>
      <w:lvlText w:val="(%2)"/>
      <w:numFmt w:val="decimal"/>
      <w:start w:val="4"/>
    </w:lvl>
  </w:abstractNum>
  <w:abstractNum w:abstractNumId="60">
    <w:nsid w:val="799D0247"/>
    <w:multiLevelType w:val="hybridMultilevel"/>
    <w:lvl w:ilvl="0">
      <w:lvlJc w:val="left"/>
      <w:lvlText w:val="(%1)"/>
      <w:numFmt w:val="lowerLetter"/>
      <w:start w:val="2"/>
    </w:lvl>
    <w:lvl w:ilvl="1">
      <w:lvlJc w:val="left"/>
      <w:lvlText w:val="(%2)"/>
      <w:numFmt w:val="decimal"/>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decimal"/>
      <w:start w:val="12"/>
    </w:lvl>
  </w:abstractNum>
  <w:abstractNum w:abstractNumId="63">
    <w:nsid w:val="168E121F"/>
    <w:multiLevelType w:val="hybridMultilevel"/>
    <w:lvl w:ilvl="0">
      <w:lvlJc w:val="left"/>
      <w:lvlText w:val="%1."/>
      <w:numFmt w:val="decimal"/>
      <w:start w:val="13"/>
    </w:lvl>
  </w:abstractNum>
  <w:abstractNum w:abstractNumId="64">
    <w:nsid w:val="1EBA5D23"/>
    <w:multiLevelType w:val="hybridMultilevel"/>
    <w:lvl w:ilvl="0">
      <w:lvlJc w:val="left"/>
      <w:lvlText w:val="%1."/>
      <w:numFmt w:val="decimal"/>
      <w:start w:val="14"/>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1."/>
      <w:numFmt w:val="decimal"/>
      <w:start w:val="15"/>
    </w:lvl>
  </w:abstractNum>
  <w:abstractNum w:abstractNumId="67">
    <w:nsid w:val="540A471C"/>
    <w:multiLevelType w:val="hybridMultilevel"/>
    <w:lvl w:ilvl="0">
      <w:lvlJc w:val="left"/>
      <w:lvlText w:val="%1."/>
      <w:numFmt w:val="decimal"/>
      <w:start w:val="16"/>
    </w:lvl>
  </w:abstractNum>
  <w:abstractNum w:abstractNumId="68">
    <w:nsid w:val="7BD3EE7B"/>
    <w:multiLevelType w:val="hybridMultilevel"/>
    <w:lvl w:ilvl="0">
      <w:lvlJc w:val="left"/>
      <w:lvlText w:val="(%1)"/>
      <w:numFmt w:val="lowerRoman"/>
      <w:start w:val="1"/>
    </w:lvl>
  </w:abstractNum>
  <w:abstractNum w:abstractNumId="69">
    <w:nsid w:val="51D9C564"/>
    <w:multiLevelType w:val="hybridMultilevel"/>
    <w:lvl w:ilvl="0">
      <w:lvlJc w:val="left"/>
      <w:lvlText w:val="%1."/>
      <w:numFmt w:val="decimal"/>
      <w:start w:val="17"/>
    </w:lvl>
  </w:abstractNum>
  <w:abstractNum w:abstractNumId="70">
    <w:nsid w:val="613EFDC5"/>
    <w:multiLevelType w:val="hybridMultilevel"/>
    <w:lvl w:ilvl="0">
      <w:lvlJc w:val="left"/>
      <w:lvlText w:val="%1"/>
      <w:numFmt w:val="decimal"/>
      <w:start w:val="1"/>
    </w:lvl>
    <w:lvl w:ilvl="1">
      <w:lvlJc w:val="left"/>
      <w:lvlText w:val="(%2)"/>
      <w:numFmt w:val="lowerLetter"/>
      <w:start w:val="1"/>
    </w:lvl>
  </w:abstractNum>
  <w:abstractNum w:abstractNumId="71">
    <w:nsid w:val="BF72B14"/>
    <w:multiLevelType w:val="hybridMultilevel"/>
    <w:lvl w:ilvl="0">
      <w:lvlJc w:val="left"/>
      <w:lvlText w:val="(%1)"/>
      <w:numFmt w:val="decimal"/>
      <w:start w:val="1"/>
    </w:lvl>
    <w:lvl w:ilvl="1">
      <w:lvlJc w:val="left"/>
      <w:lvlText w:val="(%2)"/>
      <w:numFmt w:val="lowerLetter"/>
      <w:start w:val="5"/>
    </w:lvl>
  </w:abstractNum>
  <w:abstractNum w:abstractNumId="72">
    <w:nsid w:val="11447B73"/>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abstractNum>
  <w:abstractNum w:abstractNumId="73">
    <w:nsid w:val="42963E5A"/>
    <w:multiLevelType w:val="hybridMultilevel"/>
    <w:lvl w:ilvl="0">
      <w:lvlJc w:val="left"/>
      <w:lvlText w:val="(%1)"/>
      <w:numFmt w:val="decimal"/>
      <w:start w:val="4"/>
    </w:lvl>
    <w:lvl w:ilvl="1">
      <w:lvlJc w:val="left"/>
      <w:lvlText w:val="(%2)"/>
      <w:numFmt w:val="lowerLetter"/>
      <w:start w:val="12"/>
    </w:lvl>
    <w:lvl w:ilvl="2">
      <w:lvlJc w:val="left"/>
      <w:lvlText w:val="(%3)"/>
      <w:numFmt w:val="decimal"/>
      <w:start w:val="1"/>
    </w:lvl>
  </w:abstractNum>
  <w:abstractNum w:abstractNumId="74">
    <w:nsid w:val="A0382C5"/>
    <w:multiLevelType w:val="hybridMultilevel"/>
    <w:lvl w:ilvl="0">
      <w:lvlJc w:val="left"/>
      <w:lvlText w:val="(%1)"/>
      <w:numFmt w:val="decimal"/>
      <w:start w:val="2"/>
    </w:lvl>
  </w:abstractNum>
  <w:abstractNum w:abstractNumId="75">
    <w:nsid w:val="8F2B15E"/>
    <w:multiLevelType w:val="hybridMultilevel"/>
    <w:lvl w:ilvl="0">
      <w:lvlJc w:val="left"/>
      <w:lvlText w:val="(%1)"/>
      <w:numFmt w:val="lowerLetter"/>
      <w:start w:val="14"/>
    </w:lvl>
  </w:abstractNum>
  <w:abstractNum w:abstractNumId="76">
    <w:nsid w:val="1A32234B"/>
    <w:multiLevelType w:val="hybridMultilevel"/>
    <w:lvl w:ilvl="0">
      <w:lvlJc w:val="left"/>
      <w:lvlText w:val="(%1)"/>
      <w:numFmt w:val="lowerLetter"/>
      <w:start w:val="24"/>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00" Type="http://schemas.openxmlformats.org/officeDocument/2006/relationships/hyperlink" Target="https://www.sec.gov/Archives/edgar/data/1859836/000110465926049520/tm2527636d21_ex3-1.htm" TargetMode="External"/><Relationship Id="rId101" Type="http://schemas.openxmlformats.org/officeDocument/2006/relationships/hyperlink" Target="https://www.sec.gov/Archives/edgar/data/1859836/000110465926049520/tm2527636d21_ex3-2.htm" TargetMode="External"/><Relationship Id="rId102" Type="http://schemas.openxmlformats.org/officeDocument/2006/relationships/hyperlink" Target="https://www.sec.gov/Archives/edgar/data/1859836/000110465921117942/tm2114709d8_ex4-1.htm" TargetMode="External"/><Relationship Id="rId103" Type="http://schemas.openxmlformats.org/officeDocument/2006/relationships/hyperlink" Target="https://www.sec.gov/Archives/edgar/data/1859836/000110465926049520/tm2527636d21_ex10-1.htm" TargetMode="External"/><Relationship Id="rId104" Type="http://schemas.openxmlformats.org/officeDocument/2006/relationships/hyperlink" Target="https://www.sec.gov/Archives/edgar/data/1859836/000110465926049520/tm2527636d21_ex10-2.htm" TargetMode="External"/><Relationship Id="rId105" Type="http://schemas.openxmlformats.org/officeDocument/2006/relationships/hyperlink" Target="https://www.sec.gov/Archives/edgar/data/1859836/000110465926049520/tm2527636d21_ex10-3.htm" TargetMode="External"/><Relationship Id="rId106" Type="http://schemas.openxmlformats.org/officeDocument/2006/relationships/hyperlink" Target="https://www.sec.gov/Archives/edgar/data/1859836/000110465926049520/tm2527636d21_ex10-4.htm" TargetMode="External"/><Relationship Id="rId107" Type="http://schemas.openxmlformats.org/officeDocument/2006/relationships/hyperlink" Target="https://www.sec.gov/Archives/edgar/data/1859836/000110465926048521/tm2527636d19_ex99-1.htm" TargetMode="External"/><Relationship Id="rId108" Type="http://schemas.openxmlformats.org/officeDocument/2006/relationships/hyperlink" Target="https://www.sec.gov/Archives/edgar/data/1859836/000110465926048521/tm2527636d19_ex99-2.htm" TargetMode="External"/><Relationship Id="rId109" Type="http://schemas.openxmlformats.org/officeDocument/2006/relationships/hyperlink" Target="https://www.sec.gov/Archives/edgar/data/1859836/000110465926035973/tm2527636d8_ex10-14.htm" TargetMode="External"/><Relationship Id="rId110" Type="http://schemas.openxmlformats.org/officeDocument/2006/relationships/hyperlink" Target="https://www.sec.gov/Archives/edgar/data/1859836/000110465926035973/tm2527636d8_ex10-15.htm" TargetMode="External"/><Relationship Id="rId111" Type="http://schemas.openxmlformats.org/officeDocument/2006/relationships/hyperlink" Target="https://www.sec.gov/Archives/edgar/data/1859836/000110465926035973/tm2527636d8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2026-06-02T07:34:47Z</dcterms:created>
  <dcterms:modified xsi:type="dcterms:W3CDTF">2026-06-02T07:34:47Z</dcterms:modified>
</cp:coreProperties>
</file>